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B46D38" w:rsidRPr="00B46D38" w:rsidTr="00B46D38">
        <w:tc>
          <w:tcPr>
            <w:tcW w:w="3348" w:type="dxa"/>
            <w:tcBorders>
              <w:top w:val="nil"/>
              <w:left w:val="nil"/>
              <w:bottom w:val="nil"/>
              <w:right w:val="nil"/>
            </w:tcBorders>
            <w:shd w:val="clear" w:color="auto" w:fill="FFFFFF"/>
            <w:tcMar>
              <w:top w:w="0" w:type="dxa"/>
              <w:left w:w="108" w:type="dxa"/>
              <w:bottom w:w="0" w:type="dxa"/>
              <w:right w:w="108" w:type="dxa"/>
            </w:tcMar>
            <w:hideMark/>
          </w:tcPr>
          <w:p w:rsidR="00B46D38" w:rsidRPr="00B46D38" w:rsidRDefault="00B46D38" w:rsidP="00B46D38">
            <w:pPr>
              <w:spacing w:after="120" w:line="240" w:lineRule="auto"/>
              <w:jc w:val="center"/>
              <w:rPr>
                <w:rFonts w:ascii="Times New Roman" w:eastAsia="Times New Roman" w:hAnsi="Times New Roman" w:cs="Times New Roman"/>
                <w:color w:val="333333"/>
              </w:rPr>
            </w:pPr>
            <w:r w:rsidRPr="00B46D38">
              <w:rPr>
                <w:rFonts w:ascii="Times New Roman" w:eastAsia="Times New Roman" w:hAnsi="Times New Roman" w:cs="Times New Roman"/>
                <w:b/>
                <w:bCs/>
                <w:color w:val="333333"/>
              </w:rPr>
              <w:t>CHÍNH PHỦ</w:t>
            </w:r>
            <w:r w:rsidRPr="00B46D38">
              <w:rPr>
                <w:rFonts w:ascii="Times New Roman" w:eastAsia="Times New Roman" w:hAnsi="Times New Roman" w:cs="Times New Roman"/>
                <w:b/>
                <w:bCs/>
                <w:color w:val="333333"/>
                <w:lang w:val="vi-VN"/>
              </w:rPr>
              <w:br/>
              <w:t>-------</w:t>
            </w:r>
          </w:p>
        </w:tc>
        <w:tc>
          <w:tcPr>
            <w:tcW w:w="5508" w:type="dxa"/>
            <w:tcBorders>
              <w:top w:val="nil"/>
              <w:left w:val="nil"/>
              <w:bottom w:val="nil"/>
              <w:right w:val="nil"/>
            </w:tcBorders>
            <w:shd w:val="clear" w:color="auto" w:fill="FFFFFF"/>
            <w:tcMar>
              <w:top w:w="0" w:type="dxa"/>
              <w:left w:w="108" w:type="dxa"/>
              <w:bottom w:w="0" w:type="dxa"/>
              <w:right w:w="108" w:type="dxa"/>
            </w:tcMar>
            <w:hideMark/>
          </w:tcPr>
          <w:p w:rsidR="00B46D38" w:rsidRPr="00B46D38" w:rsidRDefault="00B46D38" w:rsidP="00B46D38">
            <w:pPr>
              <w:spacing w:after="120" w:line="240" w:lineRule="auto"/>
              <w:jc w:val="center"/>
              <w:rPr>
                <w:rFonts w:ascii="Times New Roman" w:eastAsia="Times New Roman" w:hAnsi="Times New Roman" w:cs="Times New Roman"/>
                <w:color w:val="333333"/>
              </w:rPr>
            </w:pPr>
            <w:r w:rsidRPr="00B46D38">
              <w:rPr>
                <w:rFonts w:ascii="Times New Roman" w:eastAsia="Times New Roman" w:hAnsi="Times New Roman" w:cs="Times New Roman"/>
                <w:b/>
                <w:bCs/>
                <w:color w:val="333333"/>
                <w:lang w:val="vi-VN"/>
              </w:rPr>
              <w:t>CỘNG HÒA XÃ HỘI CHỦ NGHĨA VIỆT NAM</w:t>
            </w:r>
            <w:r w:rsidRPr="00B46D38">
              <w:rPr>
                <w:rFonts w:ascii="Times New Roman" w:eastAsia="Times New Roman" w:hAnsi="Times New Roman" w:cs="Times New Roman"/>
                <w:b/>
                <w:bCs/>
                <w:color w:val="333333"/>
                <w:lang w:val="vi-VN"/>
              </w:rPr>
              <w:br/>
              <w:t>Độc lập - Tự do - Hạnh phúc </w:t>
            </w:r>
            <w:r w:rsidRPr="00B46D38">
              <w:rPr>
                <w:rFonts w:ascii="Times New Roman" w:eastAsia="Times New Roman" w:hAnsi="Times New Roman" w:cs="Times New Roman"/>
                <w:b/>
                <w:bCs/>
                <w:color w:val="333333"/>
                <w:lang w:val="vi-VN"/>
              </w:rPr>
              <w:br/>
              <w:t>---------------</w:t>
            </w:r>
          </w:p>
        </w:tc>
      </w:tr>
      <w:tr w:rsidR="00B46D38" w:rsidRPr="00B46D38" w:rsidTr="00B46D38">
        <w:tc>
          <w:tcPr>
            <w:tcW w:w="3348" w:type="dxa"/>
            <w:tcBorders>
              <w:top w:val="nil"/>
              <w:left w:val="nil"/>
              <w:bottom w:val="nil"/>
              <w:right w:val="nil"/>
            </w:tcBorders>
            <w:shd w:val="clear" w:color="auto" w:fill="FFFFFF"/>
            <w:tcMar>
              <w:top w:w="0" w:type="dxa"/>
              <w:left w:w="108" w:type="dxa"/>
              <w:bottom w:w="0" w:type="dxa"/>
              <w:right w:w="108" w:type="dxa"/>
            </w:tcMar>
            <w:hideMark/>
          </w:tcPr>
          <w:p w:rsidR="00B46D38" w:rsidRPr="00B46D38" w:rsidRDefault="00B46D38" w:rsidP="00B46D38">
            <w:pPr>
              <w:spacing w:after="120" w:line="240" w:lineRule="auto"/>
              <w:jc w:val="center"/>
              <w:rPr>
                <w:rFonts w:ascii="Times New Roman" w:eastAsia="Times New Roman" w:hAnsi="Times New Roman" w:cs="Times New Roman"/>
                <w:color w:val="333333"/>
              </w:rPr>
            </w:pPr>
            <w:r w:rsidRPr="00B46D38">
              <w:rPr>
                <w:rFonts w:ascii="Times New Roman" w:eastAsia="Times New Roman" w:hAnsi="Times New Roman" w:cs="Times New Roman"/>
                <w:color w:val="333333"/>
                <w:lang w:val="vi-VN"/>
              </w:rPr>
              <w:t>Số: </w:t>
            </w:r>
            <w:r w:rsidRPr="00B46D38">
              <w:rPr>
                <w:rFonts w:ascii="Times New Roman" w:eastAsia="Times New Roman" w:hAnsi="Times New Roman" w:cs="Times New Roman"/>
                <w:color w:val="333333"/>
              </w:rPr>
              <w:t>19/2018/NĐ-CP</w:t>
            </w:r>
          </w:p>
        </w:tc>
        <w:tc>
          <w:tcPr>
            <w:tcW w:w="5508" w:type="dxa"/>
            <w:tcBorders>
              <w:top w:val="nil"/>
              <w:left w:val="nil"/>
              <w:bottom w:val="nil"/>
              <w:right w:val="nil"/>
            </w:tcBorders>
            <w:shd w:val="clear" w:color="auto" w:fill="FFFFFF"/>
            <w:tcMar>
              <w:top w:w="0" w:type="dxa"/>
              <w:left w:w="108" w:type="dxa"/>
              <w:bottom w:w="0" w:type="dxa"/>
              <w:right w:w="108" w:type="dxa"/>
            </w:tcMar>
            <w:hideMark/>
          </w:tcPr>
          <w:p w:rsidR="00B46D38" w:rsidRPr="00B46D38" w:rsidRDefault="00B46D38" w:rsidP="00B46D38">
            <w:pPr>
              <w:spacing w:after="120" w:line="240" w:lineRule="auto"/>
              <w:jc w:val="center"/>
              <w:rPr>
                <w:rFonts w:ascii="Times New Roman" w:eastAsia="Times New Roman" w:hAnsi="Times New Roman" w:cs="Times New Roman"/>
                <w:color w:val="333333"/>
              </w:rPr>
            </w:pPr>
            <w:r w:rsidRPr="00B46D38">
              <w:rPr>
                <w:rFonts w:ascii="Times New Roman" w:eastAsia="Times New Roman" w:hAnsi="Times New Roman" w:cs="Times New Roman"/>
                <w:i/>
                <w:iCs/>
                <w:color w:val="333333"/>
                <w:lang w:val="vi-VN"/>
              </w:rPr>
              <w:t>Hà Nội, ngày </w:t>
            </w:r>
            <w:r w:rsidRPr="00B46D38">
              <w:rPr>
                <w:rFonts w:ascii="Times New Roman" w:eastAsia="Times New Roman" w:hAnsi="Times New Roman" w:cs="Times New Roman"/>
                <w:i/>
                <w:iCs/>
                <w:color w:val="333333"/>
              </w:rPr>
              <w:t>02</w:t>
            </w:r>
            <w:r w:rsidRPr="00B46D38">
              <w:rPr>
                <w:rFonts w:ascii="Times New Roman" w:eastAsia="Times New Roman" w:hAnsi="Times New Roman" w:cs="Times New Roman"/>
                <w:i/>
                <w:iCs/>
                <w:color w:val="333333"/>
                <w:lang w:val="vi-VN"/>
              </w:rPr>
              <w:t> tháng </w:t>
            </w:r>
            <w:r w:rsidRPr="00B46D38">
              <w:rPr>
                <w:rFonts w:ascii="Times New Roman" w:eastAsia="Times New Roman" w:hAnsi="Times New Roman" w:cs="Times New Roman"/>
                <w:i/>
                <w:iCs/>
                <w:color w:val="333333"/>
              </w:rPr>
              <w:t>02</w:t>
            </w:r>
            <w:r w:rsidRPr="00B46D38">
              <w:rPr>
                <w:rFonts w:ascii="Times New Roman" w:eastAsia="Times New Roman" w:hAnsi="Times New Roman" w:cs="Times New Roman"/>
                <w:i/>
                <w:iCs/>
                <w:color w:val="333333"/>
                <w:lang w:val="vi-VN"/>
              </w:rPr>
              <w:t> năm 201</w:t>
            </w:r>
            <w:r w:rsidRPr="00B46D38">
              <w:rPr>
                <w:rFonts w:ascii="Times New Roman" w:eastAsia="Times New Roman" w:hAnsi="Times New Roman" w:cs="Times New Roman"/>
                <w:i/>
                <w:iCs/>
                <w:color w:val="333333"/>
              </w:rPr>
              <w:t>8</w:t>
            </w:r>
          </w:p>
        </w:tc>
      </w:tr>
    </w:tbl>
    <w:p w:rsidR="00B46D38" w:rsidRPr="00B46D38" w:rsidRDefault="00B46D38" w:rsidP="00B46D38">
      <w:pPr>
        <w:shd w:val="clear" w:color="auto" w:fill="FFFFFF"/>
        <w:spacing w:after="120" w:line="240" w:lineRule="auto"/>
        <w:jc w:val="center"/>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NGHỊ ĐỊNH</w:t>
      </w:r>
    </w:p>
    <w:p w:rsidR="00B46D38" w:rsidRPr="00B46D38" w:rsidRDefault="00B46D38" w:rsidP="00B46D38">
      <w:pPr>
        <w:shd w:val="clear" w:color="auto" w:fill="FFFFFF"/>
        <w:spacing w:after="120" w:line="240" w:lineRule="auto"/>
        <w:jc w:val="center"/>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QUY ĐỊNH VỀ VIỆC TÍNH TỔNG KHỐI LƯỢNG HOẶC THỂ TÍCH CHẤT MA TÚY TẠI MỘT SỐ ĐIỀU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i/>
          <w:iCs/>
          <w:color w:val="000000"/>
          <w:sz w:val="24"/>
          <w:szCs w:val="24"/>
          <w:lang w:val="vi-VN"/>
        </w:rPr>
        <w:t>Căn cứ Luật tổ chức Chính phủ ngày 19 tháng 6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i/>
          <w:iCs/>
          <w:color w:val="000000"/>
          <w:sz w:val="24"/>
          <w:szCs w:val="24"/>
          <w:lang w:val="vi-VN"/>
        </w:rPr>
        <w:t>Căn cứ Bộ luật Hình sự ngày 2</w:t>
      </w:r>
      <w:r w:rsidRPr="00B46D38">
        <w:rPr>
          <w:rFonts w:ascii="Times New Roman" w:eastAsia="Times New Roman" w:hAnsi="Times New Roman" w:cs="Times New Roman"/>
          <w:i/>
          <w:iCs/>
          <w:color w:val="000000"/>
          <w:sz w:val="24"/>
          <w:szCs w:val="24"/>
        </w:rPr>
        <w:t>7 </w:t>
      </w:r>
      <w:r w:rsidRPr="00B46D38">
        <w:rPr>
          <w:rFonts w:ascii="Times New Roman" w:eastAsia="Times New Roman" w:hAnsi="Times New Roman" w:cs="Times New Roman"/>
          <w:i/>
          <w:iCs/>
          <w:color w:val="000000"/>
          <w:sz w:val="24"/>
          <w:szCs w:val="24"/>
          <w:lang w:val="vi-VN"/>
        </w:rPr>
        <w:t>tháng 11 năm 2015 và Luật sửa đổi, </w:t>
      </w:r>
      <w:r w:rsidRPr="00B46D38">
        <w:rPr>
          <w:rFonts w:ascii="Times New Roman" w:eastAsia="Times New Roman" w:hAnsi="Times New Roman" w:cs="Times New Roman"/>
          <w:i/>
          <w:iCs/>
          <w:color w:val="000000"/>
          <w:sz w:val="24"/>
          <w:szCs w:val="24"/>
        </w:rPr>
        <w:t>b</w:t>
      </w:r>
      <w:r w:rsidRPr="00B46D38">
        <w:rPr>
          <w:rFonts w:ascii="Times New Roman" w:eastAsia="Times New Roman" w:hAnsi="Times New Roman" w:cs="Times New Roman"/>
          <w:i/>
          <w:iCs/>
          <w:color w:val="000000"/>
          <w:sz w:val="24"/>
          <w:szCs w:val="24"/>
          <w:lang w:val="vi-VN"/>
        </w:rPr>
        <w:t>ổ sung một số điều của Bộ luật Hình sự ngày 20 tháng</w:t>
      </w:r>
      <w:r w:rsidRPr="00B46D38">
        <w:rPr>
          <w:rFonts w:ascii="Times New Roman" w:eastAsia="Times New Roman" w:hAnsi="Times New Roman" w:cs="Times New Roman"/>
          <w:i/>
          <w:iCs/>
          <w:color w:val="000000"/>
          <w:sz w:val="24"/>
          <w:szCs w:val="24"/>
        </w:rPr>
        <w:t> 6</w:t>
      </w:r>
      <w:r w:rsidRPr="00B46D38">
        <w:rPr>
          <w:rFonts w:ascii="Times New Roman" w:eastAsia="Times New Roman" w:hAnsi="Times New Roman" w:cs="Times New Roman"/>
          <w:i/>
          <w:iCs/>
          <w:color w:val="000000"/>
          <w:sz w:val="24"/>
          <w:szCs w:val="24"/>
          <w:lang w:val="vi-VN"/>
        </w:rPr>
        <w:t> năm 2017;</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i/>
          <w:iCs/>
          <w:color w:val="000000"/>
          <w:sz w:val="24"/>
          <w:szCs w:val="24"/>
          <w:lang w:val="vi-VN"/>
        </w:rPr>
        <w:t>Căn cứ Nghị quyết số 41/2017/QH14 ngày 20 tháng 6 năm 2017 của Quốc hội về việc thi hành Bộ luật Hình sự số 100/2015/QH13 đã được sửa đổi, bổ sung một số điều theo Luật số 12/2017/QH14 và về hiệu lực thi hành của Bộ luật tố tụng hình sự s</w:t>
      </w:r>
      <w:r w:rsidRPr="00B46D38">
        <w:rPr>
          <w:rFonts w:ascii="Times New Roman" w:eastAsia="Times New Roman" w:hAnsi="Times New Roman" w:cs="Times New Roman"/>
          <w:i/>
          <w:iCs/>
          <w:color w:val="000000"/>
          <w:sz w:val="24"/>
          <w:szCs w:val="24"/>
        </w:rPr>
        <w:t>ố </w:t>
      </w:r>
      <w:r w:rsidRPr="00B46D38">
        <w:rPr>
          <w:rFonts w:ascii="Times New Roman" w:eastAsia="Times New Roman" w:hAnsi="Times New Roman" w:cs="Times New Roman"/>
          <w:i/>
          <w:iCs/>
          <w:color w:val="000000"/>
          <w:sz w:val="24"/>
          <w:szCs w:val="24"/>
          <w:lang w:val="vi-VN"/>
        </w:rPr>
        <w:t>101/2015/QH13, Luật tổ chức cơ quan điều tra hình sự s</w:t>
      </w:r>
      <w:r w:rsidRPr="00B46D38">
        <w:rPr>
          <w:rFonts w:ascii="Times New Roman" w:eastAsia="Times New Roman" w:hAnsi="Times New Roman" w:cs="Times New Roman"/>
          <w:i/>
          <w:iCs/>
          <w:color w:val="000000"/>
          <w:sz w:val="24"/>
          <w:szCs w:val="24"/>
        </w:rPr>
        <w:t>ố</w:t>
      </w:r>
      <w:r w:rsidRPr="00B46D38">
        <w:rPr>
          <w:rFonts w:ascii="Times New Roman" w:eastAsia="Times New Roman" w:hAnsi="Times New Roman" w:cs="Times New Roman"/>
          <w:i/>
          <w:iCs/>
          <w:color w:val="000000"/>
          <w:sz w:val="24"/>
          <w:szCs w:val="24"/>
          <w:lang w:val="vi-VN"/>
        </w:rPr>
        <w:t> 99/2015/QH</w:t>
      </w:r>
      <w:r w:rsidRPr="00B46D38">
        <w:rPr>
          <w:rFonts w:ascii="Times New Roman" w:eastAsia="Times New Roman" w:hAnsi="Times New Roman" w:cs="Times New Roman"/>
          <w:i/>
          <w:iCs/>
          <w:color w:val="000000"/>
          <w:sz w:val="24"/>
          <w:szCs w:val="24"/>
        </w:rPr>
        <w:t>1</w:t>
      </w:r>
      <w:r w:rsidRPr="00B46D38">
        <w:rPr>
          <w:rFonts w:ascii="Times New Roman" w:eastAsia="Times New Roman" w:hAnsi="Times New Roman" w:cs="Times New Roman"/>
          <w:i/>
          <w:iCs/>
          <w:color w:val="000000"/>
          <w:sz w:val="24"/>
          <w:szCs w:val="24"/>
          <w:lang w:val="vi-VN"/>
        </w:rPr>
        <w:t>3, Luật thi hành tạm giữ, tạm giam số 94/2015/QH</w:t>
      </w:r>
      <w:r w:rsidRPr="00B46D38">
        <w:rPr>
          <w:rFonts w:ascii="Times New Roman" w:eastAsia="Times New Roman" w:hAnsi="Times New Roman" w:cs="Times New Roman"/>
          <w:i/>
          <w:iCs/>
          <w:color w:val="000000"/>
          <w:sz w:val="24"/>
          <w:szCs w:val="24"/>
        </w:rPr>
        <w:t>1</w:t>
      </w:r>
      <w:r w:rsidRPr="00B46D38">
        <w:rPr>
          <w:rFonts w:ascii="Times New Roman" w:eastAsia="Times New Roman" w:hAnsi="Times New Roman" w:cs="Times New Roman"/>
          <w:i/>
          <w:iCs/>
          <w:color w:val="000000"/>
          <w:sz w:val="24"/>
          <w:szCs w:val="24"/>
          <w:lang w:val="vi-VN"/>
        </w:rPr>
        <w:t>3;</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i/>
          <w:iCs/>
          <w:color w:val="000000"/>
          <w:sz w:val="24"/>
          <w:szCs w:val="24"/>
          <w:lang w:val="vi-VN"/>
        </w:rPr>
        <w:t>Theo đề nghị của Bộ trưởng Bộ Công an;</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i/>
          <w:iCs/>
          <w:color w:val="000000"/>
          <w:sz w:val="24"/>
          <w:szCs w:val="24"/>
          <w:lang w:val="vi-VN"/>
        </w:rPr>
        <w:t>Chính phủ ban hành Nghị định quy định về việc tính tổng khối lượng hoặc th</w:t>
      </w:r>
      <w:r w:rsidRPr="00B46D38">
        <w:rPr>
          <w:rFonts w:ascii="Times New Roman" w:eastAsia="Times New Roman" w:hAnsi="Times New Roman" w:cs="Times New Roman"/>
          <w:i/>
          <w:iCs/>
          <w:color w:val="000000"/>
          <w:sz w:val="24"/>
          <w:szCs w:val="24"/>
        </w:rPr>
        <w:t>ể </w:t>
      </w:r>
      <w:r w:rsidRPr="00B46D38">
        <w:rPr>
          <w:rFonts w:ascii="Times New Roman" w:eastAsia="Times New Roman" w:hAnsi="Times New Roman" w:cs="Times New Roman"/>
          <w:i/>
          <w:iCs/>
          <w:color w:val="000000"/>
          <w:sz w:val="24"/>
          <w:szCs w:val="24"/>
          <w:lang w:val="vi-VN"/>
        </w:rPr>
        <w:t>tích chất ma túy tại một số điều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Chương I</w:t>
      </w:r>
    </w:p>
    <w:p w:rsidR="00B46D38" w:rsidRPr="00B46D38" w:rsidRDefault="00B46D38" w:rsidP="00B46D38">
      <w:pPr>
        <w:shd w:val="clear" w:color="auto" w:fill="FFFFFF"/>
        <w:spacing w:after="120" w:line="240" w:lineRule="auto"/>
        <w:jc w:val="center"/>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NHỮNG QUY ĐỊNH CHUNG</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Điều 1. Phạm vi điều chỉnh</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Nghị định này quy định về việc tính tổng khối lượng hoặc thể tích chất ma túy tại điểm k khoản 2, điểm e khoản 3, điểm đ khoản 4 Điều 248; điểm i khoản 1, điểm n khoản 2, điểm h khoản 3, điểm h khoản 4 Điều 249; điểm i khoản 1, điểm o khoản 2, điểm h khoản 3, điểm h khoản 4 Điều 250; điểm p khoản 2, điểm h khoản 3, điểm h khoản 4 Điều 251 và điểm i khoản 1, điểm n khoản 2, điểm h khoản 3, điểm h khoản 4 Điều 252 của Bộ luật Hình sự số 100/2015/QH13 ngày 27 tháng 11 năm 2015 đã được sửa đổi, bổ sung một số điều theo Luật số 12/2017/QH14 ngày 20 tháng 6 năm 2017 (sau đây gọi tắt là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Điều 2. Đối tượng áp dụng</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Nghị định này áp dụng đối với cơ quan, người có thẩm quyền tiến hành tố tụng và cơ quan, tổ chức, cá nhân có liên quan đến việc tính tổng khối lượng hoặc thể tích chất ma túy.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Điều 3. Nguyên tắc về việc tính tổng khối lượng hoặc thể tích chất ma túy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1. Việc tính tổng khối lượng hoặc thể tích chất ma túy phải đảm bảo khách quan, khoa học và được thực hiện theo phương pháp, trình tự quy định của Nghị định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2. Khối lượng hoặc thể tích các chất ma túy theo quy định của Nghị định này là khối lượng hoặc thể tích các chất ma túy thu giữ hoặc chứng minh được trong quá trình điều tra, truy tố, xét xử. Việc xác định khối lượng thuốc phiện trong xái thuốc phiện, thuốc phiện pha loãng, thuốc phiện pha trộn được tính theo thuốc phiện chứa 10% morphine làm căn cứ quy đ</w:t>
      </w:r>
      <w:r w:rsidRPr="00B46D38">
        <w:rPr>
          <w:rFonts w:ascii="Times New Roman" w:eastAsia="Times New Roman" w:hAnsi="Times New Roman" w:cs="Times New Roman"/>
          <w:color w:val="000000"/>
          <w:sz w:val="24"/>
          <w:szCs w:val="24"/>
        </w:rPr>
        <w:t>ổ</w:t>
      </w:r>
      <w:r w:rsidRPr="00B46D38">
        <w:rPr>
          <w:rFonts w:ascii="Times New Roman" w:eastAsia="Times New Roman" w:hAnsi="Times New Roman" w:cs="Times New Roman"/>
          <w:color w:val="000000"/>
          <w:sz w:val="24"/>
          <w:szCs w:val="24"/>
          <w:lang w:val="vi-VN"/>
        </w:rPr>
        <w:t>i.</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lastRenderedPageBreak/>
        <w:t>3. Tỷ lệ phần trăm về khối lượng hoặc thể tích của từng chất ma túy được tính theo quy định của Nghị định này nếu là số thập phân thì gồm một chữ số sau dấu phẩy và không làm tròn.</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Chương II</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QUY ĐỊNH CỤ THỂ</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Điều 4. Việc tính tổng khối lượng hoặc thể tích chất ma túy trong trường hợp các chất ma túy được quy định trong cùng một điểm thuộc các khoản của một trong các Điều 248, 249, 250, 251,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Trường hợp các chất ma túy đó đều được quy định trong cùng một điểm của khoản 2, 3, 4 Điều 248; hoặc trong cùng một điểm của khoản 1, 2, 3, 4 Điều 249; hoặc trong cùng một điểm của khoản 1, 2, 3, 4 Điều 250; hoặc trong cùng một điểm của khoản 2, 3, 4 Điều 251; hoặc trong cùng một điểm của khoản 1, 2, 3, 4 Điều 252 của Bộ luật Hình sự năm 2015, thì cộng khối lượng hoặc thể tích của các chất ma túy lại với nhau và đối chiếu với quy định về khối lượng hoặc thể tích của nhóm chất ma túy đó trong các khoản của điều luật được áp dụng để xác định tổng khối lượng hoặc thể tích của các chất ma túy thuộc trường hợp quy định tại khoản nào của điều luật được áp dụng.</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Điều 5. Việc tính tổng khối lượng hoặc thể tích chất ma túy trong trường hợp các chất ma túy không được quy định trong cùng một điểm thuộc các khoản của một trong các Điều 248, 249, 250, 251,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1. Trường hợp các chất ma túy đều có khối lượng hoặc thể tích dưới mức tối thiểu đối với từng chất đó theo quy định tại khoản 1 Điều 249 hoặc khoản 1 Điều 250 hoặc khoản 1 Điều 252 của Bộ luật Hình sự năm 2015 thì xác định tổng khối lượng hoặc thể tích các chất ma túy theo trình tự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a) Tính tỷ lệ phần trăm về khối lượng hoặc thể tích của từng chất ma túy so với mức tối thiểu đối với từng chất đó được quy định tại khoản 1 của một trong các Điều 249, 250, 252 của Bộ luật Hình sự năm 2015. Sau đó cộng tỷ lệ phần trăm về khối lượng hoặc thể tích của từng chất ma túy lại với nhau để xác định tổng tỷ lệ phần trăm về khối lượng hoặc thể tích của các chất ma túy.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b) Căn cứ vào tổng tỷ lệ phần trăm về khối lượng hoặc thể tích của các chất ma túy đã được xác định tại điểm a khoản này để xác định tổng khối lượng hoặc th</w:t>
      </w:r>
      <w:r w:rsidRPr="00B46D38">
        <w:rPr>
          <w:rFonts w:ascii="Times New Roman" w:eastAsia="Times New Roman" w:hAnsi="Times New Roman" w:cs="Times New Roman"/>
          <w:color w:val="000000"/>
          <w:sz w:val="24"/>
          <w:szCs w:val="24"/>
        </w:rPr>
        <w:t>ể </w:t>
      </w:r>
      <w:r w:rsidRPr="00B46D38">
        <w:rPr>
          <w:rFonts w:ascii="Times New Roman" w:eastAsia="Times New Roman" w:hAnsi="Times New Roman" w:cs="Times New Roman"/>
          <w:color w:val="000000"/>
          <w:sz w:val="24"/>
          <w:szCs w:val="24"/>
          <w:lang w:val="vi-VN"/>
        </w:rPr>
        <w:t>tích của các chất ma túy thuộc trường hợp quy định tại khoản nào của một trong các Điều 249, 250, 252 của Bộ luật Hình sự năm 2015 theo nguyên tắc:</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Nếu tổng tỷ lệ phần trăm về khối lượng hoặc thể tích của các chất ma túy dưới 100%, thì tổng khối lượng hoặc thể tích của các chất ma túy thuộc trường hợp dưới mức tối thiểu theo quy định tại khoản 1 Điều 249; hoặc khoản 1 Điều 250; hoặc khoản 1 Điều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Nếu tổng tỷ lệ phần trăm về khối lượng hoặc thể tích của các chất ma túy từ 100% trở lên, thì cần tiếp tục tính tổng tỷ lệ phần trăm về khối lượng hoặc thể tích của các chất ma túy so với mức tối thiểu đối với từng chất đó được quy định tại khoản 2 của một trong các Điều 249, 250, 252 của Bộ luật Hình sự năm 2015 theo trình tự quy định tại các điểm a, b khoản 2 Điều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xml:space="preserve">2. Trường hợp các chất ma túy đều có khối lượng hoặc thể tích dưới mức tối thiểu đối với từng chất đó theo quy định tại khoản 2 của một trong các Điều 249, 250, 252 của Bộ luật Hình sự năm 2015, trong đó có ít nhất một chất ma túy có khối lượng hoặc thể tích thuộc trường hợp quy định tại khoản 1 của một trong các điều này; hoặc trường hợp các chất ma túy đều có khối lượng hoặc </w:t>
      </w:r>
      <w:r w:rsidRPr="00B46D38">
        <w:rPr>
          <w:rFonts w:ascii="Times New Roman" w:eastAsia="Times New Roman" w:hAnsi="Times New Roman" w:cs="Times New Roman"/>
          <w:color w:val="000000"/>
          <w:sz w:val="24"/>
          <w:szCs w:val="24"/>
          <w:lang w:val="vi-VN"/>
        </w:rPr>
        <w:lastRenderedPageBreak/>
        <w:t>thể tích dưới mức tối thiểu đối với từng chất đó theo quy định tại khoản 2 Điều 248 hoặc khoản 2 Điều 251 của Bộ luật Hình sự năm 2015 thì xác định tổng khối lượng hoặc thể tích các chất ma túy theo trình tự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a) Tính tỷ lệ phần trăm về khối lượng hoặc thể tích của từng chất ma túy so với mức tối thiểu đối với từng chất đó được quy định tại khoản 2 của một trong các Điều 248, 249, 250, 251, 252 của Bộ luật Hình sự năm 2015. Sau đó cộng tỷ lệ phần trăm về khối lượng hoặc thể tích của từng chất ma túy lại với nhau để xác định tổng tỷ lệ phần tr</w:t>
      </w:r>
      <w:r w:rsidRPr="00B46D38">
        <w:rPr>
          <w:rFonts w:ascii="Times New Roman" w:eastAsia="Times New Roman" w:hAnsi="Times New Roman" w:cs="Times New Roman"/>
          <w:color w:val="000000"/>
          <w:sz w:val="24"/>
          <w:szCs w:val="24"/>
        </w:rPr>
        <w:t>ă</w:t>
      </w:r>
      <w:r w:rsidRPr="00B46D38">
        <w:rPr>
          <w:rFonts w:ascii="Times New Roman" w:eastAsia="Times New Roman" w:hAnsi="Times New Roman" w:cs="Times New Roman"/>
          <w:color w:val="000000"/>
          <w:sz w:val="24"/>
          <w:szCs w:val="24"/>
          <w:lang w:val="vi-VN"/>
        </w:rPr>
        <w:t>m về khối lượng hoặc thể tích của các chất ma túy.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b) Căn cứ vào tổng tỷ lệ phần trăm về khối lượng hoặc thể tích của các chất ma túy đã được xác định tại điểm a khoản này để xác định tổng khối lượng hoặc thể tích của các chất ma túy thuộc trường hợp quy định tại khoản nào của một trong các Điều 248, 249, 250, 251, 252 của Bộ luật Hình sự năm 2015 theo nguyên tắc:</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Nếu tổng tỷ lệ phần trăm về khối lượng hoặc thể tích của các chất ma túy dưới 100%, thì tổng khối lượng hoặc thể tích của các chất ma túy thuộc trường hợp quy định tại khoản 1 Điều 248 hoặc thuộc trường hợp quy định tại điểm i khoản 1 Điều 249 hoặc thuộc trường hợp quy định tại điểm i khoản 1 Điều 250 hoặc thuộc trường hợp quy định tại khoản 1 Điều 251 hoặc thuộc trường hợp quy định tại điểm i khoản 1 Điều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Nếu tổng tỷ lệ phần trăm về khối lượng hoặc thể tích của các chất ma túy từ 100% trở lên, thì cần tiếp tục tính tổng tỷ lệ phần trăm về khối lượng hoặc thể tích của các chất ma túy so với mức tối thiểu đối với từng chất đó được quy định tại khoản 3 của một trong các Điều 248, 249, 250, 251, 252 của Bộ luật Hình sự năm 2015 theo trình tự quy định tại các điểm a, b khoản 3 Điều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3. Trường hợp các chất ma túy đều có khối lượng hoặc thể tích dưới mức tối thiểu đối với từng chất đó theo quy định tại khoản 3 của một trong các Điều 248, 249, 250, 251, 252 của Bộ luật Hình sự năm 2015, trong đó có ít nhất một chất ma túy có khối lượng hoặc thể tích thuộc trường hợp quy định tại khoản 2 của một trong các điều này thì xác định tổng khối lượng hoặc thể tích các chất ma túy theo trình tự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a) Tính tỷ lệ phần trăm về khối lượng hoặc thể tích của từng chất ma túy so với mức tối thiểu đối với từng chất đó được quy định tại khoản 3 của một trong các Điều 248, 249, 250, 251, 252 của Bộ luật Hình sự năm 2015. Sau đó cộng tỷ lệ phần trăm về khối lượng hoặc thể tích của từng chất ma túy lại với nhau đ</w:t>
      </w:r>
      <w:r w:rsidRPr="00B46D38">
        <w:rPr>
          <w:rFonts w:ascii="Times New Roman" w:eastAsia="Times New Roman" w:hAnsi="Times New Roman" w:cs="Times New Roman"/>
          <w:color w:val="000000"/>
          <w:sz w:val="24"/>
          <w:szCs w:val="24"/>
        </w:rPr>
        <w:t>ể </w:t>
      </w:r>
      <w:r w:rsidRPr="00B46D38">
        <w:rPr>
          <w:rFonts w:ascii="Times New Roman" w:eastAsia="Times New Roman" w:hAnsi="Times New Roman" w:cs="Times New Roman"/>
          <w:color w:val="000000"/>
          <w:sz w:val="24"/>
          <w:szCs w:val="24"/>
          <w:lang w:val="vi-VN"/>
        </w:rPr>
        <w:t>xác định tổng tỷ lệ phần trăm về khối lượng hoặc thể tích của các chất ma túy.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b) Căn cứ vào tổng tỷ lệ ph</w:t>
      </w:r>
      <w:r w:rsidRPr="00B46D38">
        <w:rPr>
          <w:rFonts w:ascii="Times New Roman" w:eastAsia="Times New Roman" w:hAnsi="Times New Roman" w:cs="Times New Roman"/>
          <w:color w:val="000000"/>
          <w:sz w:val="24"/>
          <w:szCs w:val="24"/>
        </w:rPr>
        <w:t>ầ</w:t>
      </w:r>
      <w:r w:rsidRPr="00B46D38">
        <w:rPr>
          <w:rFonts w:ascii="Times New Roman" w:eastAsia="Times New Roman" w:hAnsi="Times New Roman" w:cs="Times New Roman"/>
          <w:color w:val="000000"/>
          <w:sz w:val="24"/>
          <w:szCs w:val="24"/>
          <w:lang w:val="vi-VN"/>
        </w:rPr>
        <w:t>n trăm về khối lượng hoặc thể tích của các chất ma túy đã được xác định tại điểm a khoản này để xác định tổng khối lượng hoặc thể tích của các chất ma túy thuộc trường hợp quy định tại khoản nào của một trong các Điều 248, 249, 250, 251, 252 của Bộ luật Hình sự năm 2015 theo nguyên tắc:</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Nếu tổng tỷ lệ phần trăm về khối lượng hoặc thể tích của các chất ma túy dưới 100%, thì tổng khối lượng hoặc thể tích của các chất ma túy thuộc trường hợp quy định tại điểm k khoản 2 Điều 248 hoặc thuộc trường hợp quy định tại điểm n khoản 2 Điều 249 hoặc thuộc trường hợp quy định tại điểm o khoản 2 Điều 250 hoặc thuộc trường hợp quy định tại điểm p khoản 2 Điều 251 hoặc thuộc trường hợp quy định tại điểm n khoản 2 Điều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xml:space="preserve">Nếu tổng tỷ lệ phần trăm về khối lượng hoặc thể tích của các chất ma túy từ 100% trở lên, thì cần tiếp tục tính tổng tỷ lệ phần trăm về khối lượng hoặc thể tích của các chất ma túy so với mức tối </w:t>
      </w:r>
      <w:r w:rsidRPr="00B46D38">
        <w:rPr>
          <w:rFonts w:ascii="Times New Roman" w:eastAsia="Times New Roman" w:hAnsi="Times New Roman" w:cs="Times New Roman"/>
          <w:color w:val="000000"/>
          <w:sz w:val="24"/>
          <w:szCs w:val="24"/>
          <w:lang w:val="vi-VN"/>
        </w:rPr>
        <w:lastRenderedPageBreak/>
        <w:t>thiểu đối với từng chất đó được quy định tại khoản 4 của một trong các Điều 248, 249, 250, 251, 252 của Bộ luật Hình sự năm 2015 theo trình tự quy định tại các điểm a, b khoản 4 Điều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4. Trường hợp các chất ma túy đều có khối lượng hoặc thể tích dưới mức tối thiểu đối với từng chất đó theo quy định tại khoản 4 của một trong các Điều 248, 249, 250, 251, 252 của Bộ luật Hình sự năm 2015, trong đó có ít nhất một chất ma túy có khối lượng hoặc thể tích thuộc trường hợp quy định tại khoản 3 của một trong các điều này thì xác định tổng khối lượng hoặc thể tích các chất ma túy theo trình tự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a) Tính tỷ lệ phần trăm về khối lượng hoặc thể tích của từng chất ma túy so với mức tối thiểu đối với từng chất đó được quy định tại khoản 4 của một trong các Điều 248, 249, 250, 251, 252 của Bộ luật Hình sự năm 2015. Sau đó cộng tỷ lệ phần trăm về khối lượng hoặc thể tích của từng chất ma túy lại với nhau để xác định tổng tỷ lệ phần trăm về khối lượng hoặc thể tích của các chất ma túy.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b) Căn cứ vào tổng tỷ lệ phần trăm về khối lượng hoặc thể tích của các chất ma túy đã được xác định tại điểm a khoản này để xác định tổng khối lượng hoặc thể tích của các chất ma túy thuộc trường hợp quy định tại khoản nào của một trong các Điều 248, 249, 250, 251, 252 của Bộ luật Hình sự năm 2015 theo nguyên tắc:</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Nếu tổng tỷ lệ phần trăm về khối lượng hoặc thể tích của các chất ma túy dưới 100%, thì tổng khối lượng hoặc thể tích của các chất ma túy thuộc trường hợp quy định tại điểm e khoản 3 Điều 248 hoặc thuộc trường hợp quy định tại điểm h khoản 3 Điều 249 hoặc thuộc trường hợp quy định tại điểm h khoản 3 Điều 250 hoặc thuộc trường hợp quy định tại điểm h khoản 3 Điều 251 hoặc thuộc trường hợp quy định tại điểm h khoản 3 Điều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Nếu tổng tỷ lệ phần trăm về khối lượng hoặc thể tích của các chất ma túy từ 100% trở lên, thì tổng khối lượng hoặc thể tích của các chất ma túy thuộc trường hợp quy định tại điểm đ khoản 4 Điều 248 hoặc thuộc trường hợp quy định tại điểm h khoản 4 Điều 249 hoặc thuộc trường hợp quy định tại điểm h khoản 4 Điều 250 hoặc thuộc trường hợp quy định tại điểm h khoản 4 Điều 251 hoặc thuộc trường hợp quy định tại điểm h khoản 4 Điều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5. Tr</w:t>
      </w:r>
      <w:r w:rsidRPr="00B46D38">
        <w:rPr>
          <w:rFonts w:ascii="Times New Roman" w:eastAsia="Times New Roman" w:hAnsi="Times New Roman" w:cs="Times New Roman"/>
          <w:color w:val="000000"/>
          <w:sz w:val="24"/>
          <w:szCs w:val="24"/>
        </w:rPr>
        <w:t>ườ</w:t>
      </w:r>
      <w:r w:rsidRPr="00B46D38">
        <w:rPr>
          <w:rFonts w:ascii="Times New Roman" w:eastAsia="Times New Roman" w:hAnsi="Times New Roman" w:cs="Times New Roman"/>
          <w:color w:val="000000"/>
          <w:sz w:val="24"/>
          <w:szCs w:val="24"/>
          <w:lang w:val="vi-VN"/>
        </w:rPr>
        <w:t>ng hợp một trong các chất ma túy có khối lượng hoặc thể tích thuộc trường hợp quy định tại khoản 4 của một trong các Điều 248, 249, 250, 251, 252 của Bộ luật Hình sự năm 2015 thì tổng khối lượng hoặc thể tích của các chất ma túy thuộc trường hợp quy định tại điểm đ khoản 4 Điều 248 hoặc thuộc trường hợp quy định tại điểm h khoản 4 Điều 249 hoặc thuộc trường hợp quy định tại điểm h khoản 4 Điều 250 hoặc thuộc trường hợp quy định tại điểm h khoản 4 Điều 251 hoặc thuộc trường hợp quy định tại điểm h khoản 4 Điều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Điều 6. Phụ lục</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Ban hành kèm theo Nghị định này Phụ lục về việc tính tổng khối lượng hoặc thể tích các chất ma túy trong một số trường hợp cụ thể.</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Chương III</w:t>
      </w:r>
    </w:p>
    <w:p w:rsidR="00B46D38" w:rsidRPr="00B46D38" w:rsidRDefault="00B46D38" w:rsidP="00B46D38">
      <w:pPr>
        <w:shd w:val="clear" w:color="auto" w:fill="FFFFFF"/>
        <w:spacing w:after="120" w:line="240" w:lineRule="auto"/>
        <w:jc w:val="center"/>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ĐIỀU KHOẢN THI HÀNH</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Điều 7. Hiệu lực thi hành</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Nghị định này có hiệu lực thi hành từ ngày ký ban hành.</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Điều 8. Trách nhiệm thi hành</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lastRenderedPageBreak/>
        <w:t>1. 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2. Bộ Công an chủ trì, phối hợp với Tòa án nhân dân tối cao, Viện kiểm sát nhân dân t</w:t>
      </w:r>
      <w:r w:rsidRPr="00B46D38">
        <w:rPr>
          <w:rFonts w:ascii="Times New Roman" w:eastAsia="Times New Roman" w:hAnsi="Times New Roman" w:cs="Times New Roman"/>
          <w:color w:val="000000"/>
          <w:sz w:val="24"/>
          <w:szCs w:val="24"/>
        </w:rPr>
        <w:t>ố</w:t>
      </w:r>
      <w:r w:rsidRPr="00B46D38">
        <w:rPr>
          <w:rFonts w:ascii="Times New Roman" w:eastAsia="Times New Roman" w:hAnsi="Times New Roman" w:cs="Times New Roman"/>
          <w:color w:val="000000"/>
          <w:sz w:val="24"/>
          <w:szCs w:val="24"/>
          <w:lang w:val="vi-VN"/>
        </w:rPr>
        <w:t>i cao hướng dẫn, kiểm tra, đôn đốc việc thi hành Nghị định này./.</w:t>
      </w:r>
      <w:r w:rsidRPr="00B46D38">
        <w:rPr>
          <w:rFonts w:ascii="Times New Roman" w:eastAsia="Times New Roman" w:hAnsi="Times New Roman" w:cs="Times New Roman"/>
          <w:color w:val="000000"/>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708"/>
        <w:gridCol w:w="4148"/>
      </w:tblGrid>
      <w:tr w:rsidR="00B46D38" w:rsidRPr="00B46D38" w:rsidTr="00B46D38">
        <w:tc>
          <w:tcPr>
            <w:tcW w:w="4708" w:type="dxa"/>
            <w:tcBorders>
              <w:top w:val="nil"/>
              <w:left w:val="nil"/>
              <w:bottom w:val="nil"/>
              <w:right w:val="nil"/>
            </w:tcBorders>
            <w:shd w:val="clear" w:color="auto" w:fill="FFFFFF"/>
            <w:tcMar>
              <w:top w:w="0" w:type="dxa"/>
              <w:left w:w="108" w:type="dxa"/>
              <w:bottom w:w="0" w:type="dxa"/>
              <w:right w:w="108" w:type="dxa"/>
            </w:tcMar>
            <w:hideMark/>
          </w:tcPr>
          <w:p w:rsidR="00B46D38" w:rsidRPr="00B46D38" w:rsidRDefault="00B46D38" w:rsidP="00B46D38">
            <w:pPr>
              <w:spacing w:after="120" w:line="240" w:lineRule="auto"/>
              <w:rPr>
                <w:rFonts w:ascii="Times New Roman" w:eastAsia="Times New Roman" w:hAnsi="Times New Roman" w:cs="Times New Roman"/>
                <w:color w:val="333333"/>
              </w:rPr>
            </w:pPr>
            <w:r w:rsidRPr="00B46D38">
              <w:rPr>
                <w:rFonts w:ascii="Times New Roman" w:eastAsia="Times New Roman" w:hAnsi="Times New Roman" w:cs="Times New Roman"/>
                <w:b/>
                <w:bCs/>
                <w:i/>
                <w:iCs/>
                <w:color w:val="333333"/>
              </w:rPr>
              <w:br/>
            </w:r>
            <w:r w:rsidRPr="00B46D38">
              <w:rPr>
                <w:rFonts w:ascii="Times New Roman" w:eastAsia="Times New Roman" w:hAnsi="Times New Roman" w:cs="Times New Roman"/>
                <w:b/>
                <w:bCs/>
                <w:i/>
                <w:iCs/>
                <w:color w:val="333333"/>
              </w:rPr>
              <w:br/>
            </w:r>
          </w:p>
        </w:tc>
        <w:tc>
          <w:tcPr>
            <w:tcW w:w="4148" w:type="dxa"/>
            <w:tcBorders>
              <w:top w:val="nil"/>
              <w:left w:val="nil"/>
              <w:bottom w:val="nil"/>
              <w:right w:val="nil"/>
            </w:tcBorders>
            <w:shd w:val="clear" w:color="auto" w:fill="FFFFFF"/>
            <w:tcMar>
              <w:top w:w="0" w:type="dxa"/>
              <w:left w:w="108" w:type="dxa"/>
              <w:bottom w:w="0" w:type="dxa"/>
              <w:right w:w="108" w:type="dxa"/>
            </w:tcMar>
            <w:hideMark/>
          </w:tcPr>
          <w:p w:rsidR="00B46D38" w:rsidRPr="00B46D38" w:rsidRDefault="00B46D38" w:rsidP="00B46D38">
            <w:pPr>
              <w:spacing w:after="120" w:line="240" w:lineRule="auto"/>
              <w:jc w:val="center"/>
              <w:rPr>
                <w:rFonts w:ascii="Times New Roman" w:eastAsia="Times New Roman" w:hAnsi="Times New Roman" w:cs="Times New Roman"/>
                <w:color w:val="333333"/>
              </w:rPr>
            </w:pPr>
            <w:r w:rsidRPr="00B46D38">
              <w:rPr>
                <w:rFonts w:ascii="Times New Roman" w:eastAsia="Times New Roman" w:hAnsi="Times New Roman" w:cs="Times New Roman"/>
                <w:b/>
                <w:bCs/>
                <w:color w:val="333333"/>
              </w:rPr>
              <w:t>TM. CHÍNH PHỦ</w:t>
            </w:r>
            <w:r w:rsidRPr="00B46D38">
              <w:rPr>
                <w:rFonts w:ascii="Times New Roman" w:eastAsia="Times New Roman" w:hAnsi="Times New Roman" w:cs="Times New Roman"/>
                <w:b/>
                <w:bCs/>
                <w:color w:val="333333"/>
              </w:rPr>
              <w:br/>
              <w:t>THỦ TƯỚNG</w:t>
            </w:r>
            <w:r w:rsidRPr="00B46D38">
              <w:rPr>
                <w:rFonts w:ascii="Times New Roman" w:eastAsia="Times New Roman" w:hAnsi="Times New Roman" w:cs="Times New Roman"/>
                <w:b/>
                <w:bCs/>
                <w:color w:val="333333"/>
                <w:lang w:val="vi-VN"/>
              </w:rPr>
              <w:br/>
            </w:r>
            <w:r w:rsidRPr="00B46D38">
              <w:rPr>
                <w:rFonts w:ascii="Times New Roman" w:eastAsia="Times New Roman" w:hAnsi="Times New Roman" w:cs="Times New Roman"/>
                <w:b/>
                <w:bCs/>
                <w:color w:val="333333"/>
                <w:lang w:val="vi-VN"/>
              </w:rPr>
              <w:br/>
            </w:r>
            <w:r w:rsidRPr="00B46D38">
              <w:rPr>
                <w:rFonts w:ascii="Times New Roman" w:eastAsia="Times New Roman" w:hAnsi="Times New Roman" w:cs="Times New Roman"/>
                <w:b/>
                <w:bCs/>
                <w:color w:val="333333"/>
              </w:rPr>
              <w:t>Nguyễn Xuân Phúc</w:t>
            </w:r>
          </w:p>
        </w:tc>
      </w:tr>
    </w:tbl>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p>
    <w:p w:rsidR="00B46D38" w:rsidRPr="00B46D38" w:rsidRDefault="00B46D38" w:rsidP="00B46D38">
      <w:pPr>
        <w:shd w:val="clear" w:color="auto" w:fill="FFFFFF"/>
        <w:spacing w:after="120" w:line="240" w:lineRule="auto"/>
        <w:jc w:val="center"/>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rPr>
        <w:t>PHỤ LỤC</w:t>
      </w:r>
    </w:p>
    <w:p w:rsidR="00B46D38" w:rsidRPr="00B46D38" w:rsidRDefault="00B46D38" w:rsidP="00B46D38">
      <w:pPr>
        <w:shd w:val="clear" w:color="auto" w:fill="FFFFFF"/>
        <w:spacing w:after="120" w:line="240" w:lineRule="auto"/>
        <w:jc w:val="center"/>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rPr>
        <w:t>VỀ VIỆC TÍNH TỔNG KHỐI LƯỢNG HOẶC THỂ TÍCH CÁC CHẤT MA TÚY TRONG MỘT SỐ TRƯỜNG HỢP CỤ THỂ</w:t>
      </w:r>
      <w:r w:rsidRPr="00B46D38">
        <w:rPr>
          <w:rFonts w:ascii="Times New Roman" w:eastAsia="Times New Roman" w:hAnsi="Times New Roman" w:cs="Times New Roman"/>
          <w:color w:val="000000"/>
          <w:sz w:val="24"/>
          <w:szCs w:val="24"/>
        </w:rPr>
        <w:br/>
      </w:r>
      <w:r w:rsidRPr="00B46D38">
        <w:rPr>
          <w:rFonts w:ascii="Times New Roman" w:eastAsia="Times New Roman" w:hAnsi="Times New Roman" w:cs="Times New Roman"/>
          <w:i/>
          <w:iCs/>
          <w:color w:val="000000"/>
          <w:sz w:val="24"/>
          <w:szCs w:val="24"/>
        </w:rPr>
        <w:t>(Kèm theo Nghị định số 19/2018/NĐ-CP ngày 02 tháng 02 năm 2018 của Chính phủ)</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I. VỀ VIỆC TÍNH TỔNG KHỐI LƯỢNG HOẶC THỂ TÍCH CHẤT MA TÚY TRONG TRƯỜNG HỢP CÁC CHẤT MA TÚY ĐỀU ĐƯỢC QUY ĐỊNH TRONG CÙNG MỘT ĐIỂM THUỘC CÁC KHOẢN CỦA MỘT TRONG CÁC ĐIỀU 248, 249, 250, 251, 252 CỦA BỘ LUẬT HÌNH SỰ NĂM 2015 (QUY ĐỊNH TẠI ĐIỀU 4 CỦA NGHỊ ĐỊNH)</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Ví dụ: Một người mua bán trái phép 03 gam Heroine, 03 gam Cocaine, 03 gam Methamphetamine, 20 gam Amphetamine và 20 gam MDMA. T</w:t>
      </w:r>
      <w:r w:rsidRPr="00B46D38">
        <w:rPr>
          <w:rFonts w:ascii="Times New Roman" w:eastAsia="Times New Roman" w:hAnsi="Times New Roman" w:cs="Times New Roman"/>
          <w:color w:val="000000"/>
          <w:sz w:val="24"/>
          <w:szCs w:val="24"/>
        </w:rPr>
        <w:t>ổ</w:t>
      </w:r>
      <w:r w:rsidRPr="00B46D38">
        <w:rPr>
          <w:rFonts w:ascii="Times New Roman" w:eastAsia="Times New Roman" w:hAnsi="Times New Roman" w:cs="Times New Roman"/>
          <w:color w:val="000000"/>
          <w:sz w:val="24"/>
          <w:szCs w:val="24"/>
          <w:lang w:val="vi-VN"/>
        </w:rPr>
        <w:t>ng khối lượng các ch</w:t>
      </w:r>
      <w:r w:rsidRPr="00B46D38">
        <w:rPr>
          <w:rFonts w:ascii="Times New Roman" w:eastAsia="Times New Roman" w:hAnsi="Times New Roman" w:cs="Times New Roman"/>
          <w:color w:val="000000"/>
          <w:sz w:val="24"/>
          <w:szCs w:val="24"/>
        </w:rPr>
        <w:t>ấ</w:t>
      </w:r>
      <w:r w:rsidRPr="00B46D38">
        <w:rPr>
          <w:rFonts w:ascii="Times New Roman" w:eastAsia="Times New Roman" w:hAnsi="Times New Roman" w:cs="Times New Roman"/>
          <w:color w:val="000000"/>
          <w:sz w:val="24"/>
          <w:szCs w:val="24"/>
          <w:lang w:val="vi-VN"/>
        </w:rPr>
        <w:t>t ma túy trong trường hợp này được xác định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Căn cứ quy định tại Điều 251 của Bộ luật Hình sự năm 2015 (Tội mua bán trái phép chất ma túy), thì Heroine, Cocaine, Methamphetamine, Amphetamine và MDMA là các chất ma túy được quy định trong cùng một điểm tại các khoản của Điều 251 của Bộ luật Hình sự năm 2015 (cụ thể gồm: điểm i khoản 2; điểm b khoản 3; điểm b khoản 4 Điều 251), vì vậy sẽ áp dụng quy định tại Điều 4 của Nghị định để tính tổng khối lượng của Heroine, Cocaine, Methamphetamine, Amphetamine và MDMA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Cộng khối lượng của từng chất lại với nhau để xác định tổng khối lượng của 05 chất ma túy Heroine, Cocaine, Methamphetamine, Amphetamine, MDMA là: 03 gam + 03 gam + 03 gam + 20 gam + 20 gam = 49 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Đối chiếu tổng khối lượng của 05 chất ma túy với quy định tại điểm i khoản 2; hoặc điểm b khoản 3; hoặc điểm b khoản 4 Điều 251 của Bộ luật Hình sự năm 2015, thì trong trường hợp này tổng khối lượng của 05 chất ma túy tương đương với khối lượng Heroine, Cocaine, Methamphetamine, Amphetamine hoặc MDMA được quy định tại điểm b khoản 3 Điều 251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Xác định điểm, khoản, điều luật: Như vậy trong trường hợp này tổng kh</w:t>
      </w:r>
      <w:r w:rsidRPr="00B46D38">
        <w:rPr>
          <w:rFonts w:ascii="Times New Roman" w:eastAsia="Times New Roman" w:hAnsi="Times New Roman" w:cs="Times New Roman"/>
          <w:color w:val="000000"/>
          <w:sz w:val="24"/>
          <w:szCs w:val="24"/>
        </w:rPr>
        <w:t>ố</w:t>
      </w:r>
      <w:r w:rsidRPr="00B46D38">
        <w:rPr>
          <w:rFonts w:ascii="Times New Roman" w:eastAsia="Times New Roman" w:hAnsi="Times New Roman" w:cs="Times New Roman"/>
          <w:color w:val="000000"/>
          <w:sz w:val="24"/>
          <w:szCs w:val="24"/>
          <w:lang w:val="vi-VN"/>
        </w:rPr>
        <w:t>i lượng của 05 chất ma túy Heroine, Cocaine, Methamphetamine, Amphetamine và MDMA thuộc trường hợp quy định tại điểm h khoản 3 Điều 251 của Bộ luật Hình sự năm 2015, cụ thể: </w:t>
      </w:r>
      <w:r w:rsidRPr="00B46D38">
        <w:rPr>
          <w:rFonts w:ascii="Times New Roman" w:eastAsia="Times New Roman" w:hAnsi="Times New Roman" w:cs="Times New Roman"/>
          <w:i/>
          <w:iCs/>
          <w:color w:val="000000"/>
          <w:sz w:val="24"/>
          <w:szCs w:val="24"/>
          <w:lang w:val="vi-VN"/>
        </w:rPr>
        <w:t>“h) Có 02 chất ma t</w:t>
      </w:r>
      <w:r w:rsidRPr="00B46D38">
        <w:rPr>
          <w:rFonts w:ascii="Times New Roman" w:eastAsia="Times New Roman" w:hAnsi="Times New Roman" w:cs="Times New Roman"/>
          <w:i/>
          <w:iCs/>
          <w:color w:val="000000"/>
          <w:sz w:val="24"/>
          <w:szCs w:val="24"/>
        </w:rPr>
        <w:t>ú</w:t>
      </w:r>
      <w:r w:rsidRPr="00B46D38">
        <w:rPr>
          <w:rFonts w:ascii="Times New Roman" w:eastAsia="Times New Roman" w:hAnsi="Times New Roman" w:cs="Times New Roman"/>
          <w:i/>
          <w:iCs/>
          <w:color w:val="000000"/>
          <w:sz w:val="24"/>
          <w:szCs w:val="24"/>
          <w:lang w:val="vi-VN"/>
        </w:rPr>
        <w:t>y trở lên mà t</w:t>
      </w:r>
      <w:r w:rsidRPr="00B46D38">
        <w:rPr>
          <w:rFonts w:ascii="Times New Roman" w:eastAsia="Times New Roman" w:hAnsi="Times New Roman" w:cs="Times New Roman"/>
          <w:i/>
          <w:iCs/>
          <w:color w:val="000000"/>
          <w:sz w:val="24"/>
          <w:szCs w:val="24"/>
        </w:rPr>
        <w:t>ổ</w:t>
      </w:r>
      <w:r w:rsidRPr="00B46D38">
        <w:rPr>
          <w:rFonts w:ascii="Times New Roman" w:eastAsia="Times New Roman" w:hAnsi="Times New Roman" w:cs="Times New Roman"/>
          <w:i/>
          <w:iCs/>
          <w:color w:val="000000"/>
          <w:sz w:val="24"/>
          <w:szCs w:val="24"/>
          <w:lang w:val="vi-VN"/>
        </w:rPr>
        <w:t>ng khối lượng hoặc th</w:t>
      </w:r>
      <w:r w:rsidRPr="00B46D38">
        <w:rPr>
          <w:rFonts w:ascii="Times New Roman" w:eastAsia="Times New Roman" w:hAnsi="Times New Roman" w:cs="Times New Roman"/>
          <w:i/>
          <w:iCs/>
          <w:color w:val="000000"/>
          <w:sz w:val="24"/>
          <w:szCs w:val="24"/>
        </w:rPr>
        <w:t>ể </w:t>
      </w:r>
      <w:r w:rsidRPr="00B46D38">
        <w:rPr>
          <w:rFonts w:ascii="Times New Roman" w:eastAsia="Times New Roman" w:hAnsi="Times New Roman" w:cs="Times New Roman"/>
          <w:i/>
          <w:iCs/>
          <w:color w:val="000000"/>
          <w:sz w:val="24"/>
          <w:szCs w:val="24"/>
          <w:lang w:val="vi-VN"/>
        </w:rPr>
        <w:t>tích của các chất đó tương đương với khối lượng hoặc th</w:t>
      </w:r>
      <w:r w:rsidRPr="00B46D38">
        <w:rPr>
          <w:rFonts w:ascii="Times New Roman" w:eastAsia="Times New Roman" w:hAnsi="Times New Roman" w:cs="Times New Roman"/>
          <w:i/>
          <w:iCs/>
          <w:color w:val="000000"/>
          <w:sz w:val="24"/>
          <w:szCs w:val="24"/>
        </w:rPr>
        <w:t>ể </w:t>
      </w:r>
      <w:r w:rsidRPr="00B46D38">
        <w:rPr>
          <w:rFonts w:ascii="Times New Roman" w:eastAsia="Times New Roman" w:hAnsi="Times New Roman" w:cs="Times New Roman"/>
          <w:i/>
          <w:iCs/>
          <w:color w:val="000000"/>
          <w:sz w:val="24"/>
          <w:szCs w:val="24"/>
          <w:lang w:val="vi-VN"/>
        </w:rPr>
        <w:t>tích chất ma </w:t>
      </w:r>
      <w:r w:rsidRPr="00B46D38">
        <w:rPr>
          <w:rFonts w:ascii="Times New Roman" w:eastAsia="Times New Roman" w:hAnsi="Times New Roman" w:cs="Times New Roman"/>
          <w:i/>
          <w:iCs/>
          <w:color w:val="000000"/>
          <w:sz w:val="24"/>
          <w:szCs w:val="24"/>
        </w:rPr>
        <w:t>túy </w:t>
      </w:r>
      <w:r w:rsidRPr="00B46D38">
        <w:rPr>
          <w:rFonts w:ascii="Times New Roman" w:eastAsia="Times New Roman" w:hAnsi="Times New Roman" w:cs="Times New Roman"/>
          <w:i/>
          <w:iCs/>
          <w:color w:val="000000"/>
          <w:sz w:val="24"/>
          <w:szCs w:val="24"/>
          <w:lang w:val="vi-VN"/>
        </w:rPr>
        <w:t>quy định tại một trong các điểm từ điểm a đến điểm g khoản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b/>
          <w:bCs/>
          <w:color w:val="000000"/>
          <w:sz w:val="24"/>
          <w:szCs w:val="24"/>
          <w:lang w:val="vi-VN"/>
        </w:rPr>
        <w:t xml:space="preserve">II. VỀ VIỆC TÍNH TỔNG KHỐI LƯỢNG HOẶC THỂ TÍCH CÁC CHẤT MA TÚY TRONG TRƯỜNG HỢP CÁC CHẤT MA TÚY KHÔNG ĐƯỢC QUY ĐỊNH TRONG </w:t>
      </w:r>
      <w:r w:rsidRPr="00B46D38">
        <w:rPr>
          <w:rFonts w:ascii="Times New Roman" w:eastAsia="Times New Roman" w:hAnsi="Times New Roman" w:cs="Times New Roman"/>
          <w:b/>
          <w:bCs/>
          <w:color w:val="000000"/>
          <w:sz w:val="24"/>
          <w:szCs w:val="24"/>
          <w:lang w:val="vi-VN"/>
        </w:rPr>
        <w:lastRenderedPageBreak/>
        <w:t>CÙNG MỘT ĐIỂM THUỘC CÁC KHOẢN CỦA MỘT TRONG CÁC ĐIỀU 248, 249, 250, 251, 252 CỦA BỘ LUẬT HÌNH SỰ NĂM 2015 (QUY ĐỊNH TẠI ĐIỀU 5 CỦA NGHỊ ĐỊNH)</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1. Trường hợp các chất ma túy đều có khối lượng hoặc thể tích dưới mức tối thiểu đối với từng chất đó theo quy định tại khoản 1 Điều 249 hoặc khoản 1 Điều 250 hoặc khoản 1 Điều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Ví dụ: Một người chiếm đoạt 03 kilôgam quả thuốc phiện khô và 0,7 kilôgam quả thuốc phiện tươi. Tổng khối lượng của 02 chất ma túy được xác định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Căn cứ quy định tại Điều 252 của Bộ luật Hình sự năm 2015 (Tội chiếm đoạt chất ma túy), thì 03 kilôgam quả thuốc phiện khô thuộc trường hợp dưới mức tối thiểu quy định tại điểm đ khoản 1 Điều 252 của Bộ luật Hình sự năm 2015, 0,7 kilôgam quả thuốc phiện tươi thuộc trường hợp dưới mức tối thiểu quy định tại điểm e khoản 1 Điều 252 của Bộ luật Hình sự năm 2015, vì vậy sẽ áp dụng quy định tại khoản 1 Điều 5 của Nghị định này để tính tổng khối lượng của 03 kilôgam quả thuốc phiện khô và 0,7 kilôgam quả thuốc phiện tươi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Tính tỷ lệ phần trăm về khối lượng của từng chất ma túy so với mức tối thiểu đối với từng chất đó được quy định tại khoản 1 Điều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quả thuốc phiện khô so với mức tối thiểu đối với quả thuốc phiện khô quy định tại điểm đ khoản 1 Điều 252 là 60% (03 kilôgam so với 05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quả thuốc phiện tươi so với mức tối thiểu đối với quả thuốc phiện tươi quy định tại điểm e khoản 1 Điều 252 là 70% (0,7 kilôgam so với 01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Cộng tỷ lệ phần trăm về khối lượng của quả thuốc phiện khô và quả thuốc phiện tươi lại với nhau để xác định tổng tỷ lệ phần trăm về khối lượng của cả hai chất ma túy là: 60% + 70% = 130% (thuộc trường hợp từ 100% trở lên). Vì tổng tỷ lệ phần trăm về khối lượng của quả thuốc phiện khô và quả thuốc phiện tươi so với mức tối thiểu đối với từng chất đó được quy định tại khoản 1 Điều 252 của Bộ luật Hình sự năm 2015 là trên 100%, như vậy phải tiếp tục tính tổng tỷ lệ phần trăm về khối lượng của quả thuốc phiện khô và quả thuốc phiện tươi so với mức tối thiểu đối với từng chất đó quy định tại khoản 2 Điều 252 của Bộ luật Hình sự năm 2015 để xác định tổng khối lượng của quả thuốc phiện khô và quả thu</w:t>
      </w:r>
      <w:r w:rsidRPr="00B46D38">
        <w:rPr>
          <w:rFonts w:ascii="Times New Roman" w:eastAsia="Times New Roman" w:hAnsi="Times New Roman" w:cs="Times New Roman"/>
          <w:color w:val="000000"/>
          <w:sz w:val="24"/>
          <w:szCs w:val="24"/>
        </w:rPr>
        <w:t>ố</w:t>
      </w:r>
      <w:r w:rsidRPr="00B46D38">
        <w:rPr>
          <w:rFonts w:ascii="Times New Roman" w:eastAsia="Times New Roman" w:hAnsi="Times New Roman" w:cs="Times New Roman"/>
          <w:color w:val="000000"/>
          <w:sz w:val="24"/>
          <w:szCs w:val="24"/>
          <w:lang w:val="vi-VN"/>
        </w:rPr>
        <w:t>c phiện tươi có thuộc trường hợp quy định tại khoản 2 Điều 252 của Bộ luật Hình sự năm 2015 hay không, cụ thể:</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quả thuốc phiện khô so với mức tối thiểu đối với quả thuốc phiện khô được quy định tại điểm i khoản 2 Điều 252 là 06% (03 kilôgam so với 50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quả thuốc phiện tươi so với mức tối thiểu đối với quả thuốc phiện tươi được quy định tại điểm k khoản 2 Điều 252 là 07% (0,7 kilôgam so với 10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Tổng tỷ lệ phần trăm về khối lượng của quả thuốc phiện khô và quả thuốc phiện tươi so với mức tối thiểu đối với từng chất đó được quy định tại khoản 2 Điều 252 của Bộ luật Hình sự năm 2015 là: 06% + 07% = 13% (thuộc trường hợp dưới 100%).</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Xác định điểm, khoản, điều luật: Vì tổng tỷ lệ phần trăm về khối lượng của quả thuốc phiện khô và quả thuốc phiện tươi so với mức tối thiểu đối với từng chất đó quy định tại khoản 2 Điều 252 của Bộ luật Hình sự năm 2015 là dưới 100% nên tổng khối lượng của quả thuốc phiện khô và quả thuốc phiện tươi chỉ thuộc trường hợp quy định tại điểm i khoản 1 Điều 252 của Bộ luật Hình sự năm 2015, cụ thể: </w:t>
      </w:r>
      <w:r w:rsidRPr="00B46D38">
        <w:rPr>
          <w:rFonts w:ascii="Times New Roman" w:eastAsia="Times New Roman" w:hAnsi="Times New Roman" w:cs="Times New Roman"/>
          <w:i/>
          <w:iCs/>
          <w:color w:val="000000"/>
          <w:sz w:val="24"/>
          <w:szCs w:val="24"/>
          <w:lang w:val="vi-VN"/>
        </w:rPr>
        <w:t>“</w:t>
      </w:r>
      <w:r w:rsidRPr="00B46D38">
        <w:rPr>
          <w:rFonts w:ascii="Times New Roman" w:eastAsia="Times New Roman" w:hAnsi="Times New Roman" w:cs="Times New Roman"/>
          <w:i/>
          <w:iCs/>
          <w:color w:val="000000"/>
          <w:sz w:val="24"/>
          <w:szCs w:val="24"/>
        </w:rPr>
        <w:t>i</w:t>
      </w:r>
      <w:r w:rsidRPr="00B46D38">
        <w:rPr>
          <w:rFonts w:ascii="Times New Roman" w:eastAsia="Times New Roman" w:hAnsi="Times New Roman" w:cs="Times New Roman"/>
          <w:i/>
          <w:iCs/>
          <w:color w:val="000000"/>
          <w:sz w:val="24"/>
          <w:szCs w:val="24"/>
          <w:lang w:val="vi-VN"/>
        </w:rPr>
        <w:t>) Có 02 ch</w:t>
      </w:r>
      <w:r w:rsidRPr="00B46D38">
        <w:rPr>
          <w:rFonts w:ascii="Times New Roman" w:eastAsia="Times New Roman" w:hAnsi="Times New Roman" w:cs="Times New Roman"/>
          <w:i/>
          <w:iCs/>
          <w:color w:val="000000"/>
          <w:sz w:val="24"/>
          <w:szCs w:val="24"/>
        </w:rPr>
        <w:t>ấ</w:t>
      </w:r>
      <w:r w:rsidRPr="00B46D38">
        <w:rPr>
          <w:rFonts w:ascii="Times New Roman" w:eastAsia="Times New Roman" w:hAnsi="Times New Roman" w:cs="Times New Roman"/>
          <w:i/>
          <w:iCs/>
          <w:color w:val="000000"/>
          <w:sz w:val="24"/>
          <w:szCs w:val="24"/>
          <w:lang w:val="vi-VN"/>
        </w:rPr>
        <w:t>t ma túy trở lên mà t</w:t>
      </w:r>
      <w:r w:rsidRPr="00B46D38">
        <w:rPr>
          <w:rFonts w:ascii="Times New Roman" w:eastAsia="Times New Roman" w:hAnsi="Times New Roman" w:cs="Times New Roman"/>
          <w:i/>
          <w:iCs/>
          <w:color w:val="000000"/>
          <w:sz w:val="24"/>
          <w:szCs w:val="24"/>
        </w:rPr>
        <w:t>ổ</w:t>
      </w:r>
      <w:r w:rsidRPr="00B46D38">
        <w:rPr>
          <w:rFonts w:ascii="Times New Roman" w:eastAsia="Times New Roman" w:hAnsi="Times New Roman" w:cs="Times New Roman"/>
          <w:i/>
          <w:iCs/>
          <w:color w:val="000000"/>
          <w:sz w:val="24"/>
          <w:szCs w:val="24"/>
          <w:lang w:val="vi-VN"/>
        </w:rPr>
        <w:t>ng khối lượng hoặc th</w:t>
      </w:r>
      <w:r w:rsidRPr="00B46D38">
        <w:rPr>
          <w:rFonts w:ascii="Times New Roman" w:eastAsia="Times New Roman" w:hAnsi="Times New Roman" w:cs="Times New Roman"/>
          <w:i/>
          <w:iCs/>
          <w:color w:val="000000"/>
          <w:sz w:val="24"/>
          <w:szCs w:val="24"/>
        </w:rPr>
        <w:t>ể </w:t>
      </w:r>
      <w:r w:rsidRPr="00B46D38">
        <w:rPr>
          <w:rFonts w:ascii="Times New Roman" w:eastAsia="Times New Roman" w:hAnsi="Times New Roman" w:cs="Times New Roman"/>
          <w:i/>
          <w:iCs/>
          <w:color w:val="000000"/>
          <w:sz w:val="24"/>
          <w:szCs w:val="24"/>
          <w:lang w:val="vi-VN"/>
        </w:rPr>
        <w:t xml:space="preserve">tích của </w:t>
      </w:r>
      <w:r w:rsidRPr="00B46D38">
        <w:rPr>
          <w:rFonts w:ascii="Times New Roman" w:eastAsia="Times New Roman" w:hAnsi="Times New Roman" w:cs="Times New Roman"/>
          <w:i/>
          <w:iCs/>
          <w:color w:val="000000"/>
          <w:sz w:val="24"/>
          <w:szCs w:val="24"/>
          <w:lang w:val="vi-VN"/>
        </w:rPr>
        <w:lastRenderedPageBreak/>
        <w:t>các chất đ</w:t>
      </w:r>
      <w:r w:rsidRPr="00B46D38">
        <w:rPr>
          <w:rFonts w:ascii="Times New Roman" w:eastAsia="Times New Roman" w:hAnsi="Times New Roman" w:cs="Times New Roman"/>
          <w:i/>
          <w:iCs/>
          <w:color w:val="000000"/>
          <w:sz w:val="24"/>
          <w:szCs w:val="24"/>
        </w:rPr>
        <w:t>ó </w:t>
      </w:r>
      <w:r w:rsidRPr="00B46D38">
        <w:rPr>
          <w:rFonts w:ascii="Times New Roman" w:eastAsia="Times New Roman" w:hAnsi="Times New Roman" w:cs="Times New Roman"/>
          <w:i/>
          <w:iCs/>
          <w:color w:val="000000"/>
          <w:sz w:val="24"/>
          <w:szCs w:val="24"/>
          <w:lang w:val="vi-VN"/>
        </w:rPr>
        <w:t>tương đương với khối lượng hoặc th</w:t>
      </w:r>
      <w:r w:rsidRPr="00B46D38">
        <w:rPr>
          <w:rFonts w:ascii="Times New Roman" w:eastAsia="Times New Roman" w:hAnsi="Times New Roman" w:cs="Times New Roman"/>
          <w:i/>
          <w:iCs/>
          <w:color w:val="000000"/>
          <w:sz w:val="24"/>
          <w:szCs w:val="24"/>
        </w:rPr>
        <w:t>ể </w:t>
      </w:r>
      <w:r w:rsidRPr="00B46D38">
        <w:rPr>
          <w:rFonts w:ascii="Times New Roman" w:eastAsia="Times New Roman" w:hAnsi="Times New Roman" w:cs="Times New Roman"/>
          <w:i/>
          <w:iCs/>
          <w:color w:val="000000"/>
          <w:sz w:val="24"/>
          <w:szCs w:val="24"/>
          <w:lang w:val="vi-VN"/>
        </w:rPr>
        <w:t>tích chất ma t</w:t>
      </w:r>
      <w:r w:rsidRPr="00B46D38">
        <w:rPr>
          <w:rFonts w:ascii="Times New Roman" w:eastAsia="Times New Roman" w:hAnsi="Times New Roman" w:cs="Times New Roman"/>
          <w:i/>
          <w:iCs/>
          <w:color w:val="000000"/>
          <w:sz w:val="24"/>
          <w:szCs w:val="24"/>
        </w:rPr>
        <w:t>ú</w:t>
      </w:r>
      <w:r w:rsidRPr="00B46D38">
        <w:rPr>
          <w:rFonts w:ascii="Times New Roman" w:eastAsia="Times New Roman" w:hAnsi="Times New Roman" w:cs="Times New Roman"/>
          <w:i/>
          <w:iCs/>
          <w:color w:val="000000"/>
          <w:sz w:val="24"/>
          <w:szCs w:val="24"/>
          <w:lang w:val="vi-VN"/>
        </w:rPr>
        <w:t>y quy định tại một trong các điểm từ điểm b đến điểm h khoản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2. Trường hợp các chất ma túy đều có khối lượng hoặc thể tích dưới mức tối thiểu đối với từng chất đó theo quy định tại khoản 2 của một trong các Điều 249, 250, 252 của Bộ luật Hình sự năm 2015, trong đó có ít nhất một chất ma túy có khối lượng hoặc thể tích thuộc trường hợp quy định tại khoản 1 của một trong các điều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Ví dụ: Một người tàng trữ trái phép 400 gam cao côca, 900 gam lá cây côca, 45 kilôgam quả thuốc phiện khô, 900 gam quả thuốc phiện tươi, 95 mililít chất ma túy khác ở thể lỏng. Tổng khối lượng hoặc thể tích của 05 chất ma túy được xác định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Căn cứ quy định tại Điều 249 của Bộ luật Hình sự năm 2015 (tội tàng trữ trái phép chất ma túy), thì lá cây côca và quả thuốc phiện tươi có khối lượng thuộc trường hợp dưới mức tối thiểu theo quy định tại điểm d và điểm e khoản 1 Điều 249 của Bộ luật Hình sự năm 2015; cao côca, quả thuốc phiện khô và chất ma túy khác ở thể lỏng có khối lượng hoặc thể tích thuộc trường hợp quy định tại điểm b, đ và h khoản 1 Điều 249 của Bộ luật Hình sự năm 2015. Vì năm chất ma túy đều có khối lượng hoặc thể tích dưới mức tối thiểu đối với từng chất theo quy định tại khoản 2 và có 03 chất ma túy có khối lượng hoặc thể tích thuộc trường hợp quy định tại khoản 1 Điều 249 của Bộ luật Hình sự năm 2015, vì vậy sẽ áp dụng quy định tại khoản 2 Điều 5 của Nghị định này để tính tổng khối lượng hoặc thể tích của cả năm chất ma túy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Tính tỷ lệ phần trăm về khối lượng hoặc thể tích của cao côca, lá cây côca, quả thuốc phiện khô, quả thuốc phiện tươi, chất ma túy khác ở thể lỏng so với mức tối thiểu đối với từng chất đó được quy định tại khoản 2 Điều 249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cao côca so với mức tối thiểu đối với cao côca được quy định tại điểm e khoản 2 Điều 249 của Bộ luật Hình sự năm 2015 là 80% (400 gam so với 500 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lá cây côca so với mức tối thiểu đối với lá cây côca được quy định tại điểm h khoản 2 Điều 249 của Bộ luật Hình sự năm 2015 là 9% (900 gam so với 10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quả thuốc phiện khô so với mức tối thiểu đối với quả thuốc phiện khô được quy định tại điểm i khoản 2 Điều 249 của Bộ luật Hình sự năm 2015 là 90% (45 kilôgam so với 50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quả thuốc phiện tươi so với mức tối thiểu đối với quả thuốc phiện tươi quy định tại điểm k khoản 2 Điều 249 của Bộ luật Hình sự năm 2015 là 9% (900 gam so với 10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thể tích của chất ma túy khác ở thể lỏng so với mức tối thiểu đối với các chất ma túy khác ở thể lỏng được quy định tại điểm m khoản 2 Điều 249 của Bộ luật Hình sự năm 2015 là 95% (95 mililít so với 100 mililít).</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xml:space="preserve">- Cộng tỷ lệ phần trăm về khối lượng hoặc thể tích của 05 chất cao côca, lá cây côca, quả thuốc phiện khô, quả thuốc phiện tươi và chất ma túy khác ở thể lỏng lại với nhau để xác định tổng tỷ lệ phần trăm về khối lượng hoặc thể tích của cả 05 chất ma túy là: 80% + 9% + 90% + 9% + 95% = 283% (thuộc trường hợp từ 100% trở lên). Vì tổng tỷ lệ phần trăm về khối lượng hoặc thể tích của 05 chất ma túy so với mức tối thiểu đối với từng chất đó được quy định tại khoản 2 Điều 249 của Bộ luật Hình sự năm 2015 là trên 100%, như vậy phải tiếp tục tính tổng tỷ lệ phần trăm </w:t>
      </w:r>
      <w:r w:rsidRPr="00B46D38">
        <w:rPr>
          <w:rFonts w:ascii="Times New Roman" w:eastAsia="Times New Roman" w:hAnsi="Times New Roman" w:cs="Times New Roman"/>
          <w:color w:val="000000"/>
          <w:sz w:val="24"/>
          <w:szCs w:val="24"/>
          <w:lang w:val="vi-VN"/>
        </w:rPr>
        <w:lastRenderedPageBreak/>
        <w:t>về khối lượng hoặc thể tích của 05 chất ma túy so với mức tối thiểu đối với từng chất đó được quy định tại khoản 3 Điều 249 của Bộ luật Hình sự năm 2015, để xác định tổng khối lượng hoặc th</w:t>
      </w:r>
      <w:r w:rsidRPr="00B46D38">
        <w:rPr>
          <w:rFonts w:ascii="Times New Roman" w:eastAsia="Times New Roman" w:hAnsi="Times New Roman" w:cs="Times New Roman"/>
          <w:color w:val="000000"/>
          <w:sz w:val="24"/>
          <w:szCs w:val="24"/>
        </w:rPr>
        <w:t>ể </w:t>
      </w:r>
      <w:r w:rsidRPr="00B46D38">
        <w:rPr>
          <w:rFonts w:ascii="Times New Roman" w:eastAsia="Times New Roman" w:hAnsi="Times New Roman" w:cs="Times New Roman"/>
          <w:color w:val="000000"/>
          <w:sz w:val="24"/>
          <w:szCs w:val="24"/>
          <w:lang w:val="vi-VN"/>
        </w:rPr>
        <w:t>tích của 05 chất ma túy có thuộc trường hợp theo quy định tại khoản 3 Điều 249 của Bộ luật Hình sự năm 2015 hay không, cụ thể:</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cao côca so với mức tối thiểu đối với cao côca được quy định tại điểm a khoản 3 Điều 249 của Bộ luật Hình sự năm 2015 là 40% (400 gam so với 01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lá cây côca so với mức tối thiểu đối với lá cây côca được quy định tại điểm c khoản 3 Điều 249 của Bộ luật Hình sự năm 2015 là 3,6% (900 gam so với 25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quả thuốc phiện khô so với mức tối thiểu đối với quả thuốc phiện khô được quy định tại điểm d khoản 3 Điều 249 của Bộ luật Hình sự năm 2015 là 22,5% (45 kilôgam so với 200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quả thuốc phiện tươi so với mức tối thiểu đối với quả thuốc phiện tươi được quy định tại điểm đ khoản 3 Điều 249 của Bộ luật Hình sự năm 2015 là 1,8% (900 gam so với 50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thể tích của chất ma túy khác ở thể lỏng so với mức tối thiểu đối với các chất ma túy khác ở thể lỏng được quy định tại điểm g khoản 3 Điều 249 của Bộ luật Hình sự năm 2015 là 38% (95 mililít so với 250 mililít).</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Tổng tỷ lệ phần trăm về khối lượng hoặc thể tích của 05 chất cao côca, lá cây côca, quả thuốc phiện khô, quả thuốc phiện tươi và các chất ma túy khác ở thể lỏng so với mức tối thiểu đối với từng chất đó được quy định tại khoản 3 Điều 249 của Bộ luật Hình sự năm 2015 là: 40% + 3,6% + 22,5% + 1,8% + 38% = 105,9% (thuộc trường hợp từ 100% trở lên). Như vậy, phải tiếp tục tính tổng tỷ lệ phần trăm về khối lượng hoặc thể tích của 05 chất ma túy so với mức tối thiểu đối với từng chất đó được quy định tại khoản 4 Điều 249 của Bộ luật Hình sự năm 2015 để xác định tổng khối lượng hoặc thể tích của 05 chất ma túy có thuộc trường hợp theo quy định tại khoản 4 Điều 249 của Bộ luật Hình sự năm 2015 hay không, cụ thể:</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Tỷ lệ phần trăm về khối lượng của cao côca so với mức tối thiểu đối với cao côca được quy định tại điểm a khoản 4 Điều 249 của Bộ luật Hình sự năm 2015 là 8% (400 gam so với 05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Tỷ lệ phần trăm về khối lượng của lá cây côca so với mức tối thiểu đối với lá cây côca được quy định tại điểm c khoản 4 Điều 249 của Bộ luật Hình sự năm 2015 là 1,2% (900 gam so với 75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Tỷ lệ phần trăm về khối lượng của quả thuốc phiện khô so với mức tối thiểu đối với quả thuốc phiện khô được quy định tại điểm d khoản 4 Điều 249 của Bộ luật Hình sự năm 2015 là 7,5% (45 kilôgam so với 600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Tỷ lệ phần trăm về khối lượng của quả thuốc phiện tươi so với mức tối thi</w:t>
      </w:r>
      <w:r w:rsidRPr="00B46D38">
        <w:rPr>
          <w:rFonts w:ascii="Times New Roman" w:eastAsia="Times New Roman" w:hAnsi="Times New Roman" w:cs="Times New Roman"/>
          <w:color w:val="000000"/>
          <w:sz w:val="24"/>
          <w:szCs w:val="24"/>
        </w:rPr>
        <w:t>ể</w:t>
      </w:r>
      <w:r w:rsidRPr="00B46D38">
        <w:rPr>
          <w:rFonts w:ascii="Times New Roman" w:eastAsia="Times New Roman" w:hAnsi="Times New Roman" w:cs="Times New Roman"/>
          <w:color w:val="000000"/>
          <w:sz w:val="24"/>
          <w:szCs w:val="24"/>
          <w:lang w:val="vi-VN"/>
        </w:rPr>
        <w:t>u đối với quả thuốc phiện tươi được quy định tại điểm đ khoản 4 Điều 249 của Bộ luật Hình sự năm 2015 là 0,6% (900 gam so với 150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Tỷ lệ phần trăm về thể tích của chất ma túy khác ở thể lỏng so với mức tối thiểu đối với các chất ma túy khác ở thể lỏng được quy định tại điểm g khoản 4 Điều 249 của Bộ luật Hình sự năm 2015 là 12,6% (95 mililít so với 750 mililít).</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lastRenderedPageBreak/>
        <w:t>- Xác định điểm, khoản, điều luật: Vì tổng tỷ lệ phần trăm về khối lượng hoặc thể tích của 05 chất cao côca, lá cây côca, quả thuốc phiện khô, quả thuốc phiện tươi và chất ma túy khác ở thể lỏng so với mức tối thiểu đối với từng chất đó được quy định tại khoản 4 Điều 249 của Bộ luật Hình sự năm 2015 là: 8% + 1,2% + 7,5% + 0,6% + 12,6% = 29,9% (thuộc trường hợp dưới 100%). Như vậy, tổng khối lượng hoặc thể tích của 05 chất cao côca, lá cây côca, quả thuốc phiện khô, quả thuốc phiện tươi và chất ma túy khác ở th</w:t>
      </w:r>
      <w:r w:rsidRPr="00B46D38">
        <w:rPr>
          <w:rFonts w:ascii="Times New Roman" w:eastAsia="Times New Roman" w:hAnsi="Times New Roman" w:cs="Times New Roman"/>
          <w:color w:val="000000"/>
          <w:sz w:val="24"/>
          <w:szCs w:val="24"/>
        </w:rPr>
        <w:t>ể </w:t>
      </w:r>
      <w:r w:rsidRPr="00B46D38">
        <w:rPr>
          <w:rFonts w:ascii="Times New Roman" w:eastAsia="Times New Roman" w:hAnsi="Times New Roman" w:cs="Times New Roman"/>
          <w:color w:val="000000"/>
          <w:sz w:val="24"/>
          <w:szCs w:val="24"/>
          <w:lang w:val="vi-VN"/>
        </w:rPr>
        <w:t>lỏng không thuộc trường hợp theo quy định tại khoản 4 Điều 249 mà thuộc trường hợp theo quy định tại điểm h khoản 3 Điều 249 của Bộ luật Hình sự năm 2015, cụ th</w:t>
      </w:r>
      <w:r w:rsidRPr="00B46D38">
        <w:rPr>
          <w:rFonts w:ascii="Times New Roman" w:eastAsia="Times New Roman" w:hAnsi="Times New Roman" w:cs="Times New Roman"/>
          <w:color w:val="000000"/>
          <w:sz w:val="24"/>
          <w:szCs w:val="24"/>
        </w:rPr>
        <w:t>ể</w:t>
      </w:r>
      <w:r w:rsidRPr="00B46D38">
        <w:rPr>
          <w:rFonts w:ascii="Times New Roman" w:eastAsia="Times New Roman" w:hAnsi="Times New Roman" w:cs="Times New Roman"/>
          <w:color w:val="000000"/>
          <w:sz w:val="24"/>
          <w:szCs w:val="24"/>
          <w:lang w:val="vi-VN"/>
        </w:rPr>
        <w:t>: </w:t>
      </w:r>
      <w:r w:rsidRPr="00B46D38">
        <w:rPr>
          <w:rFonts w:ascii="Times New Roman" w:eastAsia="Times New Roman" w:hAnsi="Times New Roman" w:cs="Times New Roman"/>
          <w:i/>
          <w:iCs/>
          <w:color w:val="000000"/>
          <w:sz w:val="24"/>
          <w:szCs w:val="24"/>
          <w:lang w:val="vi-VN"/>
        </w:rPr>
        <w:t>“h) Có 02 chất ma túy trở lên mà t</w:t>
      </w:r>
      <w:r w:rsidRPr="00B46D38">
        <w:rPr>
          <w:rFonts w:ascii="Times New Roman" w:eastAsia="Times New Roman" w:hAnsi="Times New Roman" w:cs="Times New Roman"/>
          <w:i/>
          <w:iCs/>
          <w:color w:val="000000"/>
          <w:sz w:val="24"/>
          <w:szCs w:val="24"/>
        </w:rPr>
        <w:t>ổ</w:t>
      </w:r>
      <w:r w:rsidRPr="00B46D38">
        <w:rPr>
          <w:rFonts w:ascii="Times New Roman" w:eastAsia="Times New Roman" w:hAnsi="Times New Roman" w:cs="Times New Roman"/>
          <w:i/>
          <w:iCs/>
          <w:color w:val="000000"/>
          <w:sz w:val="24"/>
          <w:szCs w:val="24"/>
          <w:lang w:val="vi-VN"/>
        </w:rPr>
        <w:t>ng khối lượng hoặc th</w:t>
      </w:r>
      <w:r w:rsidRPr="00B46D38">
        <w:rPr>
          <w:rFonts w:ascii="Times New Roman" w:eastAsia="Times New Roman" w:hAnsi="Times New Roman" w:cs="Times New Roman"/>
          <w:i/>
          <w:iCs/>
          <w:color w:val="000000"/>
          <w:sz w:val="24"/>
          <w:szCs w:val="24"/>
        </w:rPr>
        <w:t>ể </w:t>
      </w:r>
      <w:r w:rsidRPr="00B46D38">
        <w:rPr>
          <w:rFonts w:ascii="Times New Roman" w:eastAsia="Times New Roman" w:hAnsi="Times New Roman" w:cs="Times New Roman"/>
          <w:i/>
          <w:iCs/>
          <w:color w:val="000000"/>
          <w:sz w:val="24"/>
          <w:szCs w:val="24"/>
          <w:lang w:val="vi-VN"/>
        </w:rPr>
        <w:t>tích của các chất đ</w:t>
      </w:r>
      <w:r w:rsidRPr="00B46D38">
        <w:rPr>
          <w:rFonts w:ascii="Times New Roman" w:eastAsia="Times New Roman" w:hAnsi="Times New Roman" w:cs="Times New Roman"/>
          <w:i/>
          <w:iCs/>
          <w:color w:val="000000"/>
          <w:sz w:val="24"/>
          <w:szCs w:val="24"/>
        </w:rPr>
        <w:t>ó </w:t>
      </w:r>
      <w:r w:rsidRPr="00B46D38">
        <w:rPr>
          <w:rFonts w:ascii="Times New Roman" w:eastAsia="Times New Roman" w:hAnsi="Times New Roman" w:cs="Times New Roman"/>
          <w:i/>
          <w:iCs/>
          <w:color w:val="000000"/>
          <w:sz w:val="24"/>
          <w:szCs w:val="24"/>
          <w:lang w:val="vi-VN"/>
        </w:rPr>
        <w:t>tương đương với khối lượng hoặc thể tích chất ma t</w:t>
      </w:r>
      <w:r w:rsidRPr="00B46D38">
        <w:rPr>
          <w:rFonts w:ascii="Times New Roman" w:eastAsia="Times New Roman" w:hAnsi="Times New Roman" w:cs="Times New Roman"/>
          <w:i/>
          <w:iCs/>
          <w:color w:val="000000"/>
          <w:sz w:val="24"/>
          <w:szCs w:val="24"/>
        </w:rPr>
        <w:t>ú</w:t>
      </w:r>
      <w:r w:rsidRPr="00B46D38">
        <w:rPr>
          <w:rFonts w:ascii="Times New Roman" w:eastAsia="Times New Roman" w:hAnsi="Times New Roman" w:cs="Times New Roman"/>
          <w:i/>
          <w:iCs/>
          <w:color w:val="000000"/>
          <w:sz w:val="24"/>
          <w:szCs w:val="24"/>
          <w:lang w:val="vi-VN"/>
        </w:rPr>
        <w:t>y quy định tại một trong các điểm từ điểm a đến điểm g khoản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3. Trường hợp các chất ma túy đều có khối lượng hoặc thể tích dưới mức tối thiểu đối với từng chất đó theo quy định tại khoản 2 Điều 248 hoặc khoản 2 Điều 251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Ví dụ: Một người mua bán trái phép 02 gam Heroine và 200 gam nhựa thuốc phiện. T</w:t>
      </w:r>
      <w:r w:rsidRPr="00B46D38">
        <w:rPr>
          <w:rFonts w:ascii="Times New Roman" w:eastAsia="Times New Roman" w:hAnsi="Times New Roman" w:cs="Times New Roman"/>
          <w:color w:val="000000"/>
          <w:sz w:val="24"/>
          <w:szCs w:val="24"/>
        </w:rPr>
        <w:t>ổ</w:t>
      </w:r>
      <w:r w:rsidRPr="00B46D38">
        <w:rPr>
          <w:rFonts w:ascii="Times New Roman" w:eastAsia="Times New Roman" w:hAnsi="Times New Roman" w:cs="Times New Roman"/>
          <w:color w:val="000000"/>
          <w:sz w:val="24"/>
          <w:szCs w:val="24"/>
          <w:lang w:val="vi-VN"/>
        </w:rPr>
        <w:t>ng khối lượng của 02 chất ma túy được xác định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Căn cứ quy định tại Điều 251 của Bộ luật Hình sự năm 2015 (Tội mua bán trái phép chất ma túy), thì 02 gam Heroine và 200 gam nhựa thuốc phiện đều thuộc trường hợp dưới mức tối thiểu đối với từng chất đó theo quy định tại khoản 2 Điều 251 của Bộ luật Hình sự năm 2015, vì vậy sẽ áp dụng quy định tại khoản 2 Điều 5 của Nghị định này để tính tổng khối lượng của cả hai chất ma túy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Tính tỷ lệ phần trăm về khối lượng của Heroine và nhựa thuốc phiện so với mức tối thiểu đối với từng chất đó được quy định tại khoản 2 Điều 251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Heroine so với mức tối thiểu đối với Heroine được quy định tại điểm i khoản 2 Điều 251 của Bộ luật Hình sự năm 2015 là 40% (02 gam so với 05 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nhựa thuốc phiện so với mức tối thiểu đối với nhựa thuốc phiện được quy định tại điểm h khoản 2 Điều 251 của Bộ luật Hình sự năm 2015 là 40% (200 gam so với 500 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Cộng tỷ lệ phần trăm về khối lượng của Heroine và nhựa thuốc phiện lại với nhau để xác định tổng tỷ lệ phần trăm về khối lượng của cả 02 chất ma túy là: 40% + 40% = 80% (thuộc trường hợp dưới 100%).</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Xác định điểm, khoản, điều luật: Vì tổng tỷ lệ phần trăm về khối lượng của Heroine và nhựa thuốc phiện so với mức tối thiểu đối với từng chất đó được quy định tại khoản 2 Điều 251 của Bộ luật Hình sự năm 2015 là dưới 100% nên tổng khối lượng của Heroine và nhựa thuốc phiện trong trường hợp này chỉ thuộc trường hợp quy định tại khoản 1 Điều 251.</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4. Trường hợp các chất ma túy đều có khối lượng hoặc thể tích dưới mức tối thiểu đối với từng chất đó theo quy định tại khoản 3 của một trong các Điều 248, 249, 250, 251, 252 của Bộ luật Hình sự năm 2015, trong đó có ít nhất một chất ma túy có khối lượng hoặc thể tích thuộc trường hợp quy định tại khoản 2 của một trong các điều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Ví dụ: Một người sản xuất 400 gam nhựa thuốc phiện và 09 gam Heroine. Tổng khối lượng của 02 chất ma túy được xác định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xml:space="preserve">Căn cứ quy định tại Điều 248 của Bộ luật Hình sự năm 2015 (Tội sản xuất trái phép chất ma túy), thì 400 gam nhựa thuốc phiện thuộc trường hợp quy định tại khoản 1, còn 09 gam Heroine </w:t>
      </w:r>
      <w:r w:rsidRPr="00B46D38">
        <w:rPr>
          <w:rFonts w:ascii="Times New Roman" w:eastAsia="Times New Roman" w:hAnsi="Times New Roman" w:cs="Times New Roman"/>
          <w:color w:val="000000"/>
          <w:sz w:val="24"/>
          <w:szCs w:val="24"/>
          <w:lang w:val="vi-VN"/>
        </w:rPr>
        <w:lastRenderedPageBreak/>
        <w:t>thuộc trường hợp quy định tại điểm e khoản 2 Điều 248 của Bộ luật Hình sự năm 2015. Vì khối lượng của cả hai chất ma túy đều dưới mức tối thiểu đối với từng chất đó theo quy định tại khoản 3 và khối lượng Heroine thuộc trường hợp quy định tại khoản 2 Điều 248 của Bộ luật Hình sự năm 2015, vì vậy sẽ áp dụng quy định tại khoản 3 Điều 5 của Nghị định này để tính tổng khối lượng của cả hai chất ma túy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Tính tỷ lệ phần trăm về khối lượng của nhựa thuốc phiện và Heroine so với mức tối thiểu đối với từng chất đó được quy định tại khoản 3 Điều 248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nhựa thuốc phiện so với mức tối thiểu đối với nhựa thuốc phiện được quy định tại điểm b khoản 3 Điều 248 của Bộ luật Hình sự năm 2015 là 40% (400 gam so với 01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Heroine so với mức tối thiểu đối với Heroine được quy định tại điểm c khoản 3 Điều 248 là 30% (09 gam so với 30 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Cộng tỷ lệ phần trăm về khối lượng của nhựa thuốc phiện và Heroine lại với nhau để xác định tổng tỷ lệ phần trăm về khối lượng của cả 02 chất ma túy là: 40% + 30% = 70% (thuộc trường hợp dưới 100%).</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Xác định điểm, khoản, điều luật: Vì tổng tỷ lệ phần trăm về khối lượng của nhựa thuốc phiện và Heroine so với mức tối thiểu đối với từng chất đó được quy định tại khoản 3 Điều 248 của Bộ luật Hình sự năm 2015 là dưới 100% nên tổng khối lượng của nhựa thuốc phiện và Heroine trong trường hợp này chỉ thuộc trường hợp quy định tại điểm k khoản 2 Điều 248 của Bộ luật Hình sự năm 2015, cụ thể: </w:t>
      </w:r>
      <w:r w:rsidRPr="00B46D38">
        <w:rPr>
          <w:rFonts w:ascii="Times New Roman" w:eastAsia="Times New Roman" w:hAnsi="Times New Roman" w:cs="Times New Roman"/>
          <w:i/>
          <w:iCs/>
          <w:color w:val="000000"/>
          <w:sz w:val="24"/>
          <w:szCs w:val="24"/>
        </w:rPr>
        <w:t>“</w:t>
      </w:r>
      <w:r w:rsidRPr="00B46D38">
        <w:rPr>
          <w:rFonts w:ascii="Times New Roman" w:eastAsia="Times New Roman" w:hAnsi="Times New Roman" w:cs="Times New Roman"/>
          <w:i/>
          <w:iCs/>
          <w:color w:val="000000"/>
          <w:sz w:val="24"/>
          <w:szCs w:val="24"/>
          <w:lang w:val="vi-VN"/>
        </w:rPr>
        <w:t>k) Có 02 chất ma túy trở lên mà tổng kh</w:t>
      </w:r>
      <w:r w:rsidRPr="00B46D38">
        <w:rPr>
          <w:rFonts w:ascii="Times New Roman" w:eastAsia="Times New Roman" w:hAnsi="Times New Roman" w:cs="Times New Roman"/>
          <w:i/>
          <w:iCs/>
          <w:color w:val="000000"/>
          <w:sz w:val="24"/>
          <w:szCs w:val="24"/>
        </w:rPr>
        <w:t>ố</w:t>
      </w:r>
      <w:r w:rsidRPr="00B46D38">
        <w:rPr>
          <w:rFonts w:ascii="Times New Roman" w:eastAsia="Times New Roman" w:hAnsi="Times New Roman" w:cs="Times New Roman"/>
          <w:i/>
          <w:iCs/>
          <w:color w:val="000000"/>
          <w:sz w:val="24"/>
          <w:szCs w:val="24"/>
          <w:lang w:val="vi-VN"/>
        </w:rPr>
        <w:t>i lượng hoặc thể tích của các chất đ</w:t>
      </w:r>
      <w:r w:rsidRPr="00B46D38">
        <w:rPr>
          <w:rFonts w:ascii="Times New Roman" w:eastAsia="Times New Roman" w:hAnsi="Times New Roman" w:cs="Times New Roman"/>
          <w:i/>
          <w:iCs/>
          <w:color w:val="000000"/>
          <w:sz w:val="24"/>
          <w:szCs w:val="24"/>
        </w:rPr>
        <w:t>ó </w:t>
      </w:r>
      <w:r w:rsidRPr="00B46D38">
        <w:rPr>
          <w:rFonts w:ascii="Times New Roman" w:eastAsia="Times New Roman" w:hAnsi="Times New Roman" w:cs="Times New Roman"/>
          <w:i/>
          <w:iCs/>
          <w:color w:val="000000"/>
          <w:sz w:val="24"/>
          <w:szCs w:val="24"/>
          <w:lang w:val="vi-VN"/>
        </w:rPr>
        <w:t>tương đương với khối lượng hoặc th</w:t>
      </w:r>
      <w:r w:rsidRPr="00B46D38">
        <w:rPr>
          <w:rFonts w:ascii="Times New Roman" w:eastAsia="Times New Roman" w:hAnsi="Times New Roman" w:cs="Times New Roman"/>
          <w:i/>
          <w:iCs/>
          <w:color w:val="000000"/>
          <w:sz w:val="24"/>
          <w:szCs w:val="24"/>
        </w:rPr>
        <w:t>ể </w:t>
      </w:r>
      <w:r w:rsidRPr="00B46D38">
        <w:rPr>
          <w:rFonts w:ascii="Times New Roman" w:eastAsia="Times New Roman" w:hAnsi="Times New Roman" w:cs="Times New Roman"/>
          <w:i/>
          <w:iCs/>
          <w:color w:val="000000"/>
          <w:sz w:val="24"/>
          <w:szCs w:val="24"/>
          <w:lang w:val="vi-VN"/>
        </w:rPr>
        <w:t>tích chất ma túy quy định tại một trong các điểm từ điểm đ đến điểm h khoản nà</w:t>
      </w:r>
      <w:r w:rsidRPr="00B46D38">
        <w:rPr>
          <w:rFonts w:ascii="Times New Roman" w:eastAsia="Times New Roman" w:hAnsi="Times New Roman" w:cs="Times New Roman"/>
          <w:i/>
          <w:iCs/>
          <w:color w:val="000000"/>
          <w:sz w:val="24"/>
          <w:szCs w:val="24"/>
        </w:rPr>
        <w:t>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5. Trường hợp các chất ma túy đều có khối lượng hoặc thể tích dưới mức tối thiểu đối với từng chất đó theo quy định tại khoản 4 của một trong các Điều 248, 249, 250, 251, 252 của Bộ luật Hình sự năm 2015, trong đó có ít nhất một chất ma túy có khối lượng hoặc thể tích thuộc trường hợp quy định tại khoản 3 của một trong các điều này.</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Ví dụ: Một người chiếm đoạt 900 gam nhựa thuốc phiện và 500 kilôgam quả thuốc phiện khô. Tổng khối lượng của 02 chất ma túy được xác định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Căn cứ quy định tại Điều 252 của Bộ luật Hình sự năm 2015 (Tội chiếm đoạt chất ma túy), thì 900 gam nhựa thuốc phiện thuộc trường hợp quy định tại điểm e khoản 2, còn 500 kilôgam quả thuốc phiện khô thuộc trường hợp quy định tại điểm d khoản 3 Điều 252 của Bộ luật Hình sự năm 2015. Vì khối lượng của cả hai chất ma túy đều dưới mức tối thiểu đối với từng chất đó theo quy định tại khoản 4 Điều 252 của Bộ luật Hình sự năm 2015 và khối lượng quả thuốc phiện khô thuộc trường hợp quy định tại điểm d khoản 3 Điều 252 của Bộ luật Hình sự năm 2015, vì vậy sẽ áp dụng quy định tại khoản 4 Điều 5 của Nghị định này để tính tổng khối lượng của cả hai chất ma túy như sau:</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Tính tỷ lệ phần trăm về khối lượng của nhựa thuốc phiện và quả thuốc phiện khô so với mức tối thiểu đối với từng chất đó được quy định tại khoản 4 Điều 252 của Bộ luật Hình sự năm 2015:</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Tỷ lệ phần trăm về khối lượng của nhựa thuốc phiện so với mức tối thiểu đối với nhựa thuốc phiện được quy định tại điểm a khoản 4 Điều 252 của Bộ luật Hình sự năm 2015 là 18% (900 gam so với 05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lastRenderedPageBreak/>
        <w:t>+ Tỷ lệ phần trăm về khối lượng của quả thuốc phiện khô so với mức tối thiểu đối với quả thuốc phiện khô được quy định tại điểm d khoản 4 Điều 252 của Bộ luật Hình sự năm 2015 là 83% (500 kilôgam so với 600 kilôgam).</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Cộng tỷ lệ phần trăm về khối lượng của nhựa thuốc phiện và quả thuốc phiện khô lại với nhau để xác định tổng tỷ lệ phần trăm về khối lượng của cả 02 chất ma túy là: 18% + 83% = 101% (thuộc trường hợp trên 100%).</w:t>
      </w:r>
    </w:p>
    <w:p w:rsidR="00B46D38" w:rsidRPr="00B46D38" w:rsidRDefault="00B46D38" w:rsidP="00B46D38">
      <w:pPr>
        <w:shd w:val="clear" w:color="auto" w:fill="FFFFFF"/>
        <w:spacing w:after="120" w:line="240" w:lineRule="auto"/>
        <w:jc w:val="both"/>
        <w:rPr>
          <w:rFonts w:ascii="Times New Roman" w:eastAsia="Times New Roman" w:hAnsi="Times New Roman" w:cs="Times New Roman"/>
          <w:color w:val="000000"/>
          <w:sz w:val="24"/>
          <w:szCs w:val="24"/>
        </w:rPr>
      </w:pPr>
      <w:r w:rsidRPr="00B46D38">
        <w:rPr>
          <w:rFonts w:ascii="Times New Roman" w:eastAsia="Times New Roman" w:hAnsi="Times New Roman" w:cs="Times New Roman"/>
          <w:color w:val="000000"/>
          <w:sz w:val="24"/>
          <w:szCs w:val="24"/>
          <w:lang w:val="vi-VN"/>
        </w:rPr>
        <w:t>- Xác định điểm, khoản, điều luật: Vì tổng tỷ lệ phần trăm về khối lượng của nhựa thuốc phiện và quả thuốc phiện khô so với mức tối thiểu đối với từng chất đó được quy định tại khoản 4 Điều 252 của Bộ luật Hình sự năm 2015 là trên 100% nên tổng khối lượng của nhựa thuốc phiện và quả thuốc phiện khô thuộc trường hợp quy định tại điểm h khoản 4 Điều 252 của Bộ luật Hình sự năm 2015 </w:t>
      </w:r>
      <w:r w:rsidRPr="00B46D38">
        <w:rPr>
          <w:rFonts w:ascii="Times New Roman" w:eastAsia="Times New Roman" w:hAnsi="Times New Roman" w:cs="Times New Roman"/>
          <w:i/>
          <w:iCs/>
          <w:color w:val="000000"/>
          <w:sz w:val="24"/>
          <w:szCs w:val="24"/>
          <w:lang w:val="vi-VN"/>
        </w:rPr>
        <w:t>“h) Có 02 chất ma t</w:t>
      </w:r>
      <w:r w:rsidRPr="00B46D38">
        <w:rPr>
          <w:rFonts w:ascii="Times New Roman" w:eastAsia="Times New Roman" w:hAnsi="Times New Roman" w:cs="Times New Roman"/>
          <w:i/>
          <w:iCs/>
          <w:color w:val="000000"/>
          <w:sz w:val="24"/>
          <w:szCs w:val="24"/>
        </w:rPr>
        <w:t>ú</w:t>
      </w:r>
      <w:r w:rsidRPr="00B46D38">
        <w:rPr>
          <w:rFonts w:ascii="Times New Roman" w:eastAsia="Times New Roman" w:hAnsi="Times New Roman" w:cs="Times New Roman"/>
          <w:i/>
          <w:iCs/>
          <w:color w:val="000000"/>
          <w:sz w:val="24"/>
          <w:szCs w:val="24"/>
          <w:lang w:val="vi-VN"/>
        </w:rPr>
        <w:t>y trở lên mà tổng khối lượng hoặc th</w:t>
      </w:r>
      <w:r w:rsidRPr="00B46D38">
        <w:rPr>
          <w:rFonts w:ascii="Times New Roman" w:eastAsia="Times New Roman" w:hAnsi="Times New Roman" w:cs="Times New Roman"/>
          <w:i/>
          <w:iCs/>
          <w:color w:val="000000"/>
          <w:sz w:val="24"/>
          <w:szCs w:val="24"/>
        </w:rPr>
        <w:t>ể </w:t>
      </w:r>
      <w:r w:rsidRPr="00B46D38">
        <w:rPr>
          <w:rFonts w:ascii="Times New Roman" w:eastAsia="Times New Roman" w:hAnsi="Times New Roman" w:cs="Times New Roman"/>
          <w:i/>
          <w:iCs/>
          <w:color w:val="000000"/>
          <w:sz w:val="24"/>
          <w:szCs w:val="24"/>
          <w:lang w:val="vi-VN"/>
        </w:rPr>
        <w:t>tích của các chất đó tương đương với khối lượng hoặc th</w:t>
      </w:r>
      <w:r w:rsidRPr="00B46D38">
        <w:rPr>
          <w:rFonts w:ascii="Times New Roman" w:eastAsia="Times New Roman" w:hAnsi="Times New Roman" w:cs="Times New Roman"/>
          <w:i/>
          <w:iCs/>
          <w:color w:val="000000"/>
          <w:sz w:val="24"/>
          <w:szCs w:val="24"/>
        </w:rPr>
        <w:t>ể </w:t>
      </w:r>
      <w:r w:rsidRPr="00B46D38">
        <w:rPr>
          <w:rFonts w:ascii="Times New Roman" w:eastAsia="Times New Roman" w:hAnsi="Times New Roman" w:cs="Times New Roman"/>
          <w:i/>
          <w:iCs/>
          <w:color w:val="000000"/>
          <w:sz w:val="24"/>
          <w:szCs w:val="24"/>
          <w:lang w:val="vi-VN"/>
        </w:rPr>
        <w:t>tích chất ma túy quy định tại một trong các điểm từ điểm a đến điểm g khoản này</w:t>
      </w:r>
      <w:r w:rsidRPr="00B46D38">
        <w:rPr>
          <w:rFonts w:ascii="Times New Roman" w:eastAsia="Times New Roman" w:hAnsi="Times New Roman" w:cs="Times New Roman"/>
          <w:i/>
          <w:iCs/>
          <w:color w:val="000000"/>
          <w:sz w:val="24"/>
          <w:szCs w:val="24"/>
        </w:rPr>
        <w:t>.”.</w:t>
      </w:r>
    </w:p>
    <w:p w:rsidR="003B5E94" w:rsidRDefault="003B5E94">
      <w:bookmarkStart w:id="0" w:name="_GoBack"/>
      <w:bookmarkEnd w:id="0"/>
    </w:p>
    <w:sectPr w:rsidR="003B5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38"/>
    <w:rsid w:val="003B5E94"/>
    <w:rsid w:val="00B4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55081">
      <w:bodyDiv w:val="1"/>
      <w:marLeft w:val="0"/>
      <w:marRight w:val="0"/>
      <w:marTop w:val="0"/>
      <w:marBottom w:val="0"/>
      <w:divBdr>
        <w:top w:val="none" w:sz="0" w:space="0" w:color="auto"/>
        <w:left w:val="none" w:sz="0" w:space="0" w:color="auto"/>
        <w:bottom w:val="none" w:sz="0" w:space="0" w:color="auto"/>
        <w:right w:val="none" w:sz="0" w:space="0" w:color="auto"/>
      </w:divBdr>
      <w:divsChild>
        <w:div w:id="1797023609">
          <w:marLeft w:val="0"/>
          <w:marRight w:val="0"/>
          <w:marTop w:val="120"/>
          <w:marBottom w:val="120"/>
          <w:divBdr>
            <w:top w:val="none" w:sz="0" w:space="0" w:color="auto"/>
            <w:left w:val="none" w:sz="0" w:space="0" w:color="auto"/>
            <w:bottom w:val="none" w:sz="0" w:space="0" w:color="auto"/>
            <w:right w:val="none" w:sz="0" w:space="0" w:color="auto"/>
          </w:divBdr>
        </w:div>
        <w:div w:id="824661376">
          <w:marLeft w:val="0"/>
          <w:marRight w:val="0"/>
          <w:marTop w:val="120"/>
          <w:marBottom w:val="120"/>
          <w:divBdr>
            <w:top w:val="none" w:sz="0" w:space="0" w:color="auto"/>
            <w:left w:val="none" w:sz="0" w:space="0" w:color="auto"/>
            <w:bottom w:val="none" w:sz="0" w:space="0" w:color="auto"/>
            <w:right w:val="none" w:sz="0" w:space="0" w:color="auto"/>
          </w:divBdr>
        </w:div>
        <w:div w:id="617569156">
          <w:marLeft w:val="0"/>
          <w:marRight w:val="0"/>
          <w:marTop w:val="120"/>
          <w:marBottom w:val="120"/>
          <w:divBdr>
            <w:top w:val="none" w:sz="0" w:space="0" w:color="auto"/>
            <w:left w:val="none" w:sz="0" w:space="0" w:color="auto"/>
            <w:bottom w:val="none" w:sz="0" w:space="0" w:color="auto"/>
            <w:right w:val="none" w:sz="0" w:space="0" w:color="auto"/>
          </w:divBdr>
        </w:div>
        <w:div w:id="125196163">
          <w:marLeft w:val="0"/>
          <w:marRight w:val="0"/>
          <w:marTop w:val="120"/>
          <w:marBottom w:val="120"/>
          <w:divBdr>
            <w:top w:val="none" w:sz="0" w:space="0" w:color="auto"/>
            <w:left w:val="none" w:sz="0" w:space="0" w:color="auto"/>
            <w:bottom w:val="none" w:sz="0" w:space="0" w:color="auto"/>
            <w:right w:val="none" w:sz="0" w:space="0" w:color="auto"/>
          </w:divBdr>
        </w:div>
        <w:div w:id="1491868941">
          <w:marLeft w:val="0"/>
          <w:marRight w:val="0"/>
          <w:marTop w:val="120"/>
          <w:marBottom w:val="120"/>
          <w:divBdr>
            <w:top w:val="none" w:sz="0" w:space="0" w:color="auto"/>
            <w:left w:val="none" w:sz="0" w:space="0" w:color="auto"/>
            <w:bottom w:val="none" w:sz="0" w:space="0" w:color="auto"/>
            <w:right w:val="none" w:sz="0" w:space="0" w:color="auto"/>
          </w:divBdr>
        </w:div>
        <w:div w:id="309091363">
          <w:marLeft w:val="0"/>
          <w:marRight w:val="0"/>
          <w:marTop w:val="120"/>
          <w:marBottom w:val="120"/>
          <w:divBdr>
            <w:top w:val="none" w:sz="0" w:space="0" w:color="auto"/>
            <w:left w:val="none" w:sz="0" w:space="0" w:color="auto"/>
            <w:bottom w:val="none" w:sz="0" w:space="0" w:color="auto"/>
            <w:right w:val="none" w:sz="0" w:space="0" w:color="auto"/>
          </w:divBdr>
        </w:div>
        <w:div w:id="1504012055">
          <w:marLeft w:val="0"/>
          <w:marRight w:val="0"/>
          <w:marTop w:val="120"/>
          <w:marBottom w:val="120"/>
          <w:divBdr>
            <w:top w:val="none" w:sz="0" w:space="0" w:color="auto"/>
            <w:left w:val="none" w:sz="0" w:space="0" w:color="auto"/>
            <w:bottom w:val="none" w:sz="0" w:space="0" w:color="auto"/>
            <w:right w:val="none" w:sz="0" w:space="0" w:color="auto"/>
          </w:divBdr>
        </w:div>
        <w:div w:id="209727672">
          <w:marLeft w:val="0"/>
          <w:marRight w:val="0"/>
          <w:marTop w:val="120"/>
          <w:marBottom w:val="120"/>
          <w:divBdr>
            <w:top w:val="none" w:sz="0" w:space="0" w:color="auto"/>
            <w:left w:val="none" w:sz="0" w:space="0" w:color="auto"/>
            <w:bottom w:val="none" w:sz="0" w:space="0" w:color="auto"/>
            <w:right w:val="none" w:sz="0" w:space="0" w:color="auto"/>
          </w:divBdr>
        </w:div>
        <w:div w:id="238055146">
          <w:marLeft w:val="0"/>
          <w:marRight w:val="0"/>
          <w:marTop w:val="120"/>
          <w:marBottom w:val="120"/>
          <w:divBdr>
            <w:top w:val="none" w:sz="0" w:space="0" w:color="auto"/>
            <w:left w:val="none" w:sz="0" w:space="0" w:color="auto"/>
            <w:bottom w:val="none" w:sz="0" w:space="0" w:color="auto"/>
            <w:right w:val="none" w:sz="0" w:space="0" w:color="auto"/>
          </w:divBdr>
        </w:div>
        <w:div w:id="591353799">
          <w:marLeft w:val="0"/>
          <w:marRight w:val="0"/>
          <w:marTop w:val="120"/>
          <w:marBottom w:val="120"/>
          <w:divBdr>
            <w:top w:val="none" w:sz="0" w:space="0" w:color="auto"/>
            <w:left w:val="none" w:sz="0" w:space="0" w:color="auto"/>
            <w:bottom w:val="none" w:sz="0" w:space="0" w:color="auto"/>
            <w:right w:val="none" w:sz="0" w:space="0" w:color="auto"/>
          </w:divBdr>
        </w:div>
        <w:div w:id="444348816">
          <w:marLeft w:val="0"/>
          <w:marRight w:val="0"/>
          <w:marTop w:val="120"/>
          <w:marBottom w:val="120"/>
          <w:divBdr>
            <w:top w:val="none" w:sz="0" w:space="0" w:color="auto"/>
            <w:left w:val="none" w:sz="0" w:space="0" w:color="auto"/>
            <w:bottom w:val="none" w:sz="0" w:space="0" w:color="auto"/>
            <w:right w:val="none" w:sz="0" w:space="0" w:color="auto"/>
          </w:divBdr>
        </w:div>
        <w:div w:id="1464957912">
          <w:marLeft w:val="0"/>
          <w:marRight w:val="0"/>
          <w:marTop w:val="120"/>
          <w:marBottom w:val="120"/>
          <w:divBdr>
            <w:top w:val="none" w:sz="0" w:space="0" w:color="auto"/>
            <w:left w:val="none" w:sz="0" w:space="0" w:color="auto"/>
            <w:bottom w:val="none" w:sz="0" w:space="0" w:color="auto"/>
            <w:right w:val="none" w:sz="0" w:space="0" w:color="auto"/>
          </w:divBdr>
        </w:div>
        <w:div w:id="850922386">
          <w:marLeft w:val="0"/>
          <w:marRight w:val="0"/>
          <w:marTop w:val="120"/>
          <w:marBottom w:val="120"/>
          <w:divBdr>
            <w:top w:val="none" w:sz="0" w:space="0" w:color="auto"/>
            <w:left w:val="none" w:sz="0" w:space="0" w:color="auto"/>
            <w:bottom w:val="none" w:sz="0" w:space="0" w:color="auto"/>
            <w:right w:val="none" w:sz="0" w:space="0" w:color="auto"/>
          </w:divBdr>
        </w:div>
        <w:div w:id="1961916250">
          <w:marLeft w:val="0"/>
          <w:marRight w:val="0"/>
          <w:marTop w:val="120"/>
          <w:marBottom w:val="120"/>
          <w:divBdr>
            <w:top w:val="none" w:sz="0" w:space="0" w:color="auto"/>
            <w:left w:val="none" w:sz="0" w:space="0" w:color="auto"/>
            <w:bottom w:val="none" w:sz="0" w:space="0" w:color="auto"/>
            <w:right w:val="none" w:sz="0" w:space="0" w:color="auto"/>
          </w:divBdr>
        </w:div>
        <w:div w:id="1871454358">
          <w:marLeft w:val="0"/>
          <w:marRight w:val="0"/>
          <w:marTop w:val="120"/>
          <w:marBottom w:val="120"/>
          <w:divBdr>
            <w:top w:val="none" w:sz="0" w:space="0" w:color="auto"/>
            <w:left w:val="none" w:sz="0" w:space="0" w:color="auto"/>
            <w:bottom w:val="none" w:sz="0" w:space="0" w:color="auto"/>
            <w:right w:val="none" w:sz="0" w:space="0" w:color="auto"/>
          </w:divBdr>
        </w:div>
        <w:div w:id="637565531">
          <w:marLeft w:val="0"/>
          <w:marRight w:val="0"/>
          <w:marTop w:val="120"/>
          <w:marBottom w:val="120"/>
          <w:divBdr>
            <w:top w:val="none" w:sz="0" w:space="0" w:color="auto"/>
            <w:left w:val="none" w:sz="0" w:space="0" w:color="auto"/>
            <w:bottom w:val="none" w:sz="0" w:space="0" w:color="auto"/>
            <w:right w:val="none" w:sz="0" w:space="0" w:color="auto"/>
          </w:divBdr>
        </w:div>
        <w:div w:id="797723642">
          <w:marLeft w:val="0"/>
          <w:marRight w:val="0"/>
          <w:marTop w:val="120"/>
          <w:marBottom w:val="120"/>
          <w:divBdr>
            <w:top w:val="none" w:sz="0" w:space="0" w:color="auto"/>
            <w:left w:val="none" w:sz="0" w:space="0" w:color="auto"/>
            <w:bottom w:val="none" w:sz="0" w:space="0" w:color="auto"/>
            <w:right w:val="none" w:sz="0" w:space="0" w:color="auto"/>
          </w:divBdr>
        </w:div>
        <w:div w:id="1501658390">
          <w:marLeft w:val="0"/>
          <w:marRight w:val="0"/>
          <w:marTop w:val="120"/>
          <w:marBottom w:val="120"/>
          <w:divBdr>
            <w:top w:val="none" w:sz="0" w:space="0" w:color="auto"/>
            <w:left w:val="none" w:sz="0" w:space="0" w:color="auto"/>
            <w:bottom w:val="none" w:sz="0" w:space="0" w:color="auto"/>
            <w:right w:val="none" w:sz="0" w:space="0" w:color="auto"/>
          </w:divBdr>
        </w:div>
        <w:div w:id="1832527810">
          <w:marLeft w:val="0"/>
          <w:marRight w:val="0"/>
          <w:marTop w:val="120"/>
          <w:marBottom w:val="120"/>
          <w:divBdr>
            <w:top w:val="none" w:sz="0" w:space="0" w:color="auto"/>
            <w:left w:val="none" w:sz="0" w:space="0" w:color="auto"/>
            <w:bottom w:val="none" w:sz="0" w:space="0" w:color="auto"/>
            <w:right w:val="none" w:sz="0" w:space="0" w:color="auto"/>
          </w:divBdr>
        </w:div>
        <w:div w:id="1214191114">
          <w:marLeft w:val="0"/>
          <w:marRight w:val="0"/>
          <w:marTop w:val="120"/>
          <w:marBottom w:val="120"/>
          <w:divBdr>
            <w:top w:val="none" w:sz="0" w:space="0" w:color="auto"/>
            <w:left w:val="none" w:sz="0" w:space="0" w:color="auto"/>
            <w:bottom w:val="none" w:sz="0" w:space="0" w:color="auto"/>
            <w:right w:val="none" w:sz="0" w:space="0" w:color="auto"/>
          </w:divBdr>
        </w:div>
        <w:div w:id="297150475">
          <w:marLeft w:val="0"/>
          <w:marRight w:val="0"/>
          <w:marTop w:val="120"/>
          <w:marBottom w:val="120"/>
          <w:divBdr>
            <w:top w:val="none" w:sz="0" w:space="0" w:color="auto"/>
            <w:left w:val="none" w:sz="0" w:space="0" w:color="auto"/>
            <w:bottom w:val="none" w:sz="0" w:space="0" w:color="auto"/>
            <w:right w:val="none" w:sz="0" w:space="0" w:color="auto"/>
          </w:divBdr>
        </w:div>
        <w:div w:id="968321529">
          <w:marLeft w:val="0"/>
          <w:marRight w:val="0"/>
          <w:marTop w:val="120"/>
          <w:marBottom w:val="120"/>
          <w:divBdr>
            <w:top w:val="none" w:sz="0" w:space="0" w:color="auto"/>
            <w:left w:val="none" w:sz="0" w:space="0" w:color="auto"/>
            <w:bottom w:val="none" w:sz="0" w:space="0" w:color="auto"/>
            <w:right w:val="none" w:sz="0" w:space="0" w:color="auto"/>
          </w:divBdr>
        </w:div>
        <w:div w:id="341320850">
          <w:marLeft w:val="0"/>
          <w:marRight w:val="0"/>
          <w:marTop w:val="120"/>
          <w:marBottom w:val="120"/>
          <w:divBdr>
            <w:top w:val="none" w:sz="0" w:space="0" w:color="auto"/>
            <w:left w:val="none" w:sz="0" w:space="0" w:color="auto"/>
            <w:bottom w:val="none" w:sz="0" w:space="0" w:color="auto"/>
            <w:right w:val="none" w:sz="0" w:space="0" w:color="auto"/>
          </w:divBdr>
        </w:div>
        <w:div w:id="2073654467">
          <w:marLeft w:val="0"/>
          <w:marRight w:val="0"/>
          <w:marTop w:val="120"/>
          <w:marBottom w:val="120"/>
          <w:divBdr>
            <w:top w:val="none" w:sz="0" w:space="0" w:color="auto"/>
            <w:left w:val="none" w:sz="0" w:space="0" w:color="auto"/>
            <w:bottom w:val="none" w:sz="0" w:space="0" w:color="auto"/>
            <w:right w:val="none" w:sz="0" w:space="0" w:color="auto"/>
          </w:divBdr>
        </w:div>
        <w:div w:id="1968898638">
          <w:marLeft w:val="0"/>
          <w:marRight w:val="0"/>
          <w:marTop w:val="120"/>
          <w:marBottom w:val="120"/>
          <w:divBdr>
            <w:top w:val="none" w:sz="0" w:space="0" w:color="auto"/>
            <w:left w:val="none" w:sz="0" w:space="0" w:color="auto"/>
            <w:bottom w:val="none" w:sz="0" w:space="0" w:color="auto"/>
            <w:right w:val="none" w:sz="0" w:space="0" w:color="auto"/>
          </w:divBdr>
        </w:div>
        <w:div w:id="2083916196">
          <w:marLeft w:val="0"/>
          <w:marRight w:val="0"/>
          <w:marTop w:val="120"/>
          <w:marBottom w:val="120"/>
          <w:divBdr>
            <w:top w:val="none" w:sz="0" w:space="0" w:color="auto"/>
            <w:left w:val="none" w:sz="0" w:space="0" w:color="auto"/>
            <w:bottom w:val="none" w:sz="0" w:space="0" w:color="auto"/>
            <w:right w:val="none" w:sz="0" w:space="0" w:color="auto"/>
          </w:divBdr>
        </w:div>
        <w:div w:id="1684279599">
          <w:marLeft w:val="0"/>
          <w:marRight w:val="0"/>
          <w:marTop w:val="120"/>
          <w:marBottom w:val="120"/>
          <w:divBdr>
            <w:top w:val="none" w:sz="0" w:space="0" w:color="auto"/>
            <w:left w:val="none" w:sz="0" w:space="0" w:color="auto"/>
            <w:bottom w:val="none" w:sz="0" w:space="0" w:color="auto"/>
            <w:right w:val="none" w:sz="0" w:space="0" w:color="auto"/>
          </w:divBdr>
        </w:div>
        <w:div w:id="924648519">
          <w:marLeft w:val="0"/>
          <w:marRight w:val="0"/>
          <w:marTop w:val="120"/>
          <w:marBottom w:val="120"/>
          <w:divBdr>
            <w:top w:val="none" w:sz="0" w:space="0" w:color="auto"/>
            <w:left w:val="none" w:sz="0" w:space="0" w:color="auto"/>
            <w:bottom w:val="none" w:sz="0" w:space="0" w:color="auto"/>
            <w:right w:val="none" w:sz="0" w:space="0" w:color="auto"/>
          </w:divBdr>
        </w:div>
        <w:div w:id="691691484">
          <w:marLeft w:val="0"/>
          <w:marRight w:val="0"/>
          <w:marTop w:val="120"/>
          <w:marBottom w:val="120"/>
          <w:divBdr>
            <w:top w:val="none" w:sz="0" w:space="0" w:color="auto"/>
            <w:left w:val="none" w:sz="0" w:space="0" w:color="auto"/>
            <w:bottom w:val="none" w:sz="0" w:space="0" w:color="auto"/>
            <w:right w:val="none" w:sz="0" w:space="0" w:color="auto"/>
          </w:divBdr>
        </w:div>
        <w:div w:id="793645260">
          <w:marLeft w:val="0"/>
          <w:marRight w:val="0"/>
          <w:marTop w:val="120"/>
          <w:marBottom w:val="120"/>
          <w:divBdr>
            <w:top w:val="none" w:sz="0" w:space="0" w:color="auto"/>
            <w:left w:val="none" w:sz="0" w:space="0" w:color="auto"/>
            <w:bottom w:val="none" w:sz="0" w:space="0" w:color="auto"/>
            <w:right w:val="none" w:sz="0" w:space="0" w:color="auto"/>
          </w:divBdr>
        </w:div>
        <w:div w:id="1948730428">
          <w:marLeft w:val="0"/>
          <w:marRight w:val="0"/>
          <w:marTop w:val="120"/>
          <w:marBottom w:val="120"/>
          <w:divBdr>
            <w:top w:val="none" w:sz="0" w:space="0" w:color="auto"/>
            <w:left w:val="none" w:sz="0" w:space="0" w:color="auto"/>
            <w:bottom w:val="none" w:sz="0" w:space="0" w:color="auto"/>
            <w:right w:val="none" w:sz="0" w:space="0" w:color="auto"/>
          </w:divBdr>
        </w:div>
        <w:div w:id="1278176806">
          <w:marLeft w:val="0"/>
          <w:marRight w:val="0"/>
          <w:marTop w:val="120"/>
          <w:marBottom w:val="120"/>
          <w:divBdr>
            <w:top w:val="none" w:sz="0" w:space="0" w:color="auto"/>
            <w:left w:val="none" w:sz="0" w:space="0" w:color="auto"/>
            <w:bottom w:val="none" w:sz="0" w:space="0" w:color="auto"/>
            <w:right w:val="none" w:sz="0" w:space="0" w:color="auto"/>
          </w:divBdr>
        </w:div>
        <w:div w:id="1154685708">
          <w:marLeft w:val="0"/>
          <w:marRight w:val="0"/>
          <w:marTop w:val="120"/>
          <w:marBottom w:val="120"/>
          <w:divBdr>
            <w:top w:val="none" w:sz="0" w:space="0" w:color="auto"/>
            <w:left w:val="none" w:sz="0" w:space="0" w:color="auto"/>
            <w:bottom w:val="none" w:sz="0" w:space="0" w:color="auto"/>
            <w:right w:val="none" w:sz="0" w:space="0" w:color="auto"/>
          </w:divBdr>
        </w:div>
        <w:div w:id="540553950">
          <w:marLeft w:val="0"/>
          <w:marRight w:val="0"/>
          <w:marTop w:val="120"/>
          <w:marBottom w:val="120"/>
          <w:divBdr>
            <w:top w:val="none" w:sz="0" w:space="0" w:color="auto"/>
            <w:left w:val="none" w:sz="0" w:space="0" w:color="auto"/>
            <w:bottom w:val="none" w:sz="0" w:space="0" w:color="auto"/>
            <w:right w:val="none" w:sz="0" w:space="0" w:color="auto"/>
          </w:divBdr>
        </w:div>
        <w:div w:id="157040190">
          <w:marLeft w:val="0"/>
          <w:marRight w:val="0"/>
          <w:marTop w:val="120"/>
          <w:marBottom w:val="120"/>
          <w:divBdr>
            <w:top w:val="none" w:sz="0" w:space="0" w:color="auto"/>
            <w:left w:val="none" w:sz="0" w:space="0" w:color="auto"/>
            <w:bottom w:val="none" w:sz="0" w:space="0" w:color="auto"/>
            <w:right w:val="none" w:sz="0" w:space="0" w:color="auto"/>
          </w:divBdr>
        </w:div>
        <w:div w:id="2103988531">
          <w:marLeft w:val="0"/>
          <w:marRight w:val="0"/>
          <w:marTop w:val="120"/>
          <w:marBottom w:val="120"/>
          <w:divBdr>
            <w:top w:val="none" w:sz="0" w:space="0" w:color="auto"/>
            <w:left w:val="none" w:sz="0" w:space="0" w:color="auto"/>
            <w:bottom w:val="none" w:sz="0" w:space="0" w:color="auto"/>
            <w:right w:val="none" w:sz="0" w:space="0" w:color="auto"/>
          </w:divBdr>
        </w:div>
        <w:div w:id="959073475">
          <w:marLeft w:val="0"/>
          <w:marRight w:val="0"/>
          <w:marTop w:val="120"/>
          <w:marBottom w:val="120"/>
          <w:divBdr>
            <w:top w:val="none" w:sz="0" w:space="0" w:color="auto"/>
            <w:left w:val="none" w:sz="0" w:space="0" w:color="auto"/>
            <w:bottom w:val="none" w:sz="0" w:space="0" w:color="auto"/>
            <w:right w:val="none" w:sz="0" w:space="0" w:color="auto"/>
          </w:divBdr>
        </w:div>
        <w:div w:id="2025788706">
          <w:marLeft w:val="0"/>
          <w:marRight w:val="0"/>
          <w:marTop w:val="120"/>
          <w:marBottom w:val="120"/>
          <w:divBdr>
            <w:top w:val="none" w:sz="0" w:space="0" w:color="auto"/>
            <w:left w:val="none" w:sz="0" w:space="0" w:color="auto"/>
            <w:bottom w:val="none" w:sz="0" w:space="0" w:color="auto"/>
            <w:right w:val="none" w:sz="0" w:space="0" w:color="auto"/>
          </w:divBdr>
        </w:div>
        <w:div w:id="1114058937">
          <w:marLeft w:val="0"/>
          <w:marRight w:val="0"/>
          <w:marTop w:val="120"/>
          <w:marBottom w:val="120"/>
          <w:divBdr>
            <w:top w:val="none" w:sz="0" w:space="0" w:color="auto"/>
            <w:left w:val="none" w:sz="0" w:space="0" w:color="auto"/>
            <w:bottom w:val="none" w:sz="0" w:space="0" w:color="auto"/>
            <w:right w:val="none" w:sz="0" w:space="0" w:color="auto"/>
          </w:divBdr>
        </w:div>
        <w:div w:id="828713185">
          <w:marLeft w:val="0"/>
          <w:marRight w:val="0"/>
          <w:marTop w:val="120"/>
          <w:marBottom w:val="120"/>
          <w:divBdr>
            <w:top w:val="none" w:sz="0" w:space="0" w:color="auto"/>
            <w:left w:val="none" w:sz="0" w:space="0" w:color="auto"/>
            <w:bottom w:val="none" w:sz="0" w:space="0" w:color="auto"/>
            <w:right w:val="none" w:sz="0" w:space="0" w:color="auto"/>
          </w:divBdr>
        </w:div>
        <w:div w:id="1097402953">
          <w:marLeft w:val="0"/>
          <w:marRight w:val="0"/>
          <w:marTop w:val="120"/>
          <w:marBottom w:val="120"/>
          <w:divBdr>
            <w:top w:val="none" w:sz="0" w:space="0" w:color="auto"/>
            <w:left w:val="none" w:sz="0" w:space="0" w:color="auto"/>
            <w:bottom w:val="none" w:sz="0" w:space="0" w:color="auto"/>
            <w:right w:val="none" w:sz="0" w:space="0" w:color="auto"/>
          </w:divBdr>
        </w:div>
        <w:div w:id="385225535">
          <w:marLeft w:val="0"/>
          <w:marRight w:val="0"/>
          <w:marTop w:val="120"/>
          <w:marBottom w:val="120"/>
          <w:divBdr>
            <w:top w:val="none" w:sz="0" w:space="0" w:color="auto"/>
            <w:left w:val="none" w:sz="0" w:space="0" w:color="auto"/>
            <w:bottom w:val="none" w:sz="0" w:space="0" w:color="auto"/>
            <w:right w:val="none" w:sz="0" w:space="0" w:color="auto"/>
          </w:divBdr>
        </w:div>
        <w:div w:id="2009795481">
          <w:marLeft w:val="0"/>
          <w:marRight w:val="0"/>
          <w:marTop w:val="120"/>
          <w:marBottom w:val="120"/>
          <w:divBdr>
            <w:top w:val="none" w:sz="0" w:space="0" w:color="auto"/>
            <w:left w:val="none" w:sz="0" w:space="0" w:color="auto"/>
            <w:bottom w:val="none" w:sz="0" w:space="0" w:color="auto"/>
            <w:right w:val="none" w:sz="0" w:space="0" w:color="auto"/>
          </w:divBdr>
        </w:div>
        <w:div w:id="1876697734">
          <w:marLeft w:val="0"/>
          <w:marRight w:val="0"/>
          <w:marTop w:val="120"/>
          <w:marBottom w:val="120"/>
          <w:divBdr>
            <w:top w:val="none" w:sz="0" w:space="0" w:color="auto"/>
            <w:left w:val="none" w:sz="0" w:space="0" w:color="auto"/>
            <w:bottom w:val="none" w:sz="0" w:space="0" w:color="auto"/>
            <w:right w:val="none" w:sz="0" w:space="0" w:color="auto"/>
          </w:divBdr>
        </w:div>
        <w:div w:id="1857697194">
          <w:marLeft w:val="0"/>
          <w:marRight w:val="0"/>
          <w:marTop w:val="120"/>
          <w:marBottom w:val="120"/>
          <w:divBdr>
            <w:top w:val="none" w:sz="0" w:space="0" w:color="auto"/>
            <w:left w:val="none" w:sz="0" w:space="0" w:color="auto"/>
            <w:bottom w:val="none" w:sz="0" w:space="0" w:color="auto"/>
            <w:right w:val="none" w:sz="0" w:space="0" w:color="auto"/>
          </w:divBdr>
        </w:div>
        <w:div w:id="1318727428">
          <w:marLeft w:val="0"/>
          <w:marRight w:val="0"/>
          <w:marTop w:val="120"/>
          <w:marBottom w:val="120"/>
          <w:divBdr>
            <w:top w:val="none" w:sz="0" w:space="0" w:color="auto"/>
            <w:left w:val="none" w:sz="0" w:space="0" w:color="auto"/>
            <w:bottom w:val="none" w:sz="0" w:space="0" w:color="auto"/>
            <w:right w:val="none" w:sz="0" w:space="0" w:color="auto"/>
          </w:divBdr>
        </w:div>
        <w:div w:id="1317806388">
          <w:marLeft w:val="0"/>
          <w:marRight w:val="0"/>
          <w:marTop w:val="120"/>
          <w:marBottom w:val="120"/>
          <w:divBdr>
            <w:top w:val="none" w:sz="0" w:space="0" w:color="auto"/>
            <w:left w:val="none" w:sz="0" w:space="0" w:color="auto"/>
            <w:bottom w:val="none" w:sz="0" w:space="0" w:color="auto"/>
            <w:right w:val="none" w:sz="0" w:space="0" w:color="auto"/>
          </w:divBdr>
        </w:div>
        <w:div w:id="1657104957">
          <w:marLeft w:val="0"/>
          <w:marRight w:val="0"/>
          <w:marTop w:val="120"/>
          <w:marBottom w:val="120"/>
          <w:divBdr>
            <w:top w:val="none" w:sz="0" w:space="0" w:color="auto"/>
            <w:left w:val="none" w:sz="0" w:space="0" w:color="auto"/>
            <w:bottom w:val="none" w:sz="0" w:space="0" w:color="auto"/>
            <w:right w:val="none" w:sz="0" w:space="0" w:color="auto"/>
          </w:divBdr>
        </w:div>
        <w:div w:id="1038747150">
          <w:marLeft w:val="0"/>
          <w:marRight w:val="0"/>
          <w:marTop w:val="120"/>
          <w:marBottom w:val="120"/>
          <w:divBdr>
            <w:top w:val="none" w:sz="0" w:space="0" w:color="auto"/>
            <w:left w:val="none" w:sz="0" w:space="0" w:color="auto"/>
            <w:bottom w:val="none" w:sz="0" w:space="0" w:color="auto"/>
            <w:right w:val="none" w:sz="0" w:space="0" w:color="auto"/>
          </w:divBdr>
        </w:div>
        <w:div w:id="1259369545">
          <w:marLeft w:val="0"/>
          <w:marRight w:val="0"/>
          <w:marTop w:val="120"/>
          <w:marBottom w:val="120"/>
          <w:divBdr>
            <w:top w:val="none" w:sz="0" w:space="0" w:color="auto"/>
            <w:left w:val="none" w:sz="0" w:space="0" w:color="auto"/>
            <w:bottom w:val="none" w:sz="0" w:space="0" w:color="auto"/>
            <w:right w:val="none" w:sz="0" w:space="0" w:color="auto"/>
          </w:divBdr>
        </w:div>
        <w:div w:id="1254125367">
          <w:marLeft w:val="0"/>
          <w:marRight w:val="0"/>
          <w:marTop w:val="120"/>
          <w:marBottom w:val="120"/>
          <w:divBdr>
            <w:top w:val="none" w:sz="0" w:space="0" w:color="auto"/>
            <w:left w:val="none" w:sz="0" w:space="0" w:color="auto"/>
            <w:bottom w:val="none" w:sz="0" w:space="0" w:color="auto"/>
            <w:right w:val="none" w:sz="0" w:space="0" w:color="auto"/>
          </w:divBdr>
        </w:div>
        <w:div w:id="667632760">
          <w:marLeft w:val="0"/>
          <w:marRight w:val="0"/>
          <w:marTop w:val="120"/>
          <w:marBottom w:val="120"/>
          <w:divBdr>
            <w:top w:val="none" w:sz="0" w:space="0" w:color="auto"/>
            <w:left w:val="none" w:sz="0" w:space="0" w:color="auto"/>
            <w:bottom w:val="none" w:sz="0" w:space="0" w:color="auto"/>
            <w:right w:val="none" w:sz="0" w:space="0" w:color="auto"/>
          </w:divBdr>
        </w:div>
        <w:div w:id="1479296941">
          <w:marLeft w:val="0"/>
          <w:marRight w:val="0"/>
          <w:marTop w:val="120"/>
          <w:marBottom w:val="120"/>
          <w:divBdr>
            <w:top w:val="none" w:sz="0" w:space="0" w:color="auto"/>
            <w:left w:val="none" w:sz="0" w:space="0" w:color="auto"/>
            <w:bottom w:val="none" w:sz="0" w:space="0" w:color="auto"/>
            <w:right w:val="none" w:sz="0" w:space="0" w:color="auto"/>
          </w:divBdr>
        </w:div>
        <w:div w:id="1279793827">
          <w:marLeft w:val="0"/>
          <w:marRight w:val="0"/>
          <w:marTop w:val="120"/>
          <w:marBottom w:val="120"/>
          <w:divBdr>
            <w:top w:val="none" w:sz="0" w:space="0" w:color="auto"/>
            <w:left w:val="none" w:sz="0" w:space="0" w:color="auto"/>
            <w:bottom w:val="none" w:sz="0" w:space="0" w:color="auto"/>
            <w:right w:val="none" w:sz="0" w:space="0" w:color="auto"/>
          </w:divBdr>
        </w:div>
        <w:div w:id="1845168210">
          <w:marLeft w:val="0"/>
          <w:marRight w:val="0"/>
          <w:marTop w:val="120"/>
          <w:marBottom w:val="120"/>
          <w:divBdr>
            <w:top w:val="none" w:sz="0" w:space="0" w:color="auto"/>
            <w:left w:val="none" w:sz="0" w:space="0" w:color="auto"/>
            <w:bottom w:val="none" w:sz="0" w:space="0" w:color="auto"/>
            <w:right w:val="none" w:sz="0" w:space="0" w:color="auto"/>
          </w:divBdr>
        </w:div>
        <w:div w:id="976910728">
          <w:marLeft w:val="0"/>
          <w:marRight w:val="0"/>
          <w:marTop w:val="120"/>
          <w:marBottom w:val="120"/>
          <w:divBdr>
            <w:top w:val="none" w:sz="0" w:space="0" w:color="auto"/>
            <w:left w:val="none" w:sz="0" w:space="0" w:color="auto"/>
            <w:bottom w:val="none" w:sz="0" w:space="0" w:color="auto"/>
            <w:right w:val="none" w:sz="0" w:space="0" w:color="auto"/>
          </w:divBdr>
        </w:div>
        <w:div w:id="76025839">
          <w:marLeft w:val="0"/>
          <w:marRight w:val="0"/>
          <w:marTop w:val="120"/>
          <w:marBottom w:val="120"/>
          <w:divBdr>
            <w:top w:val="none" w:sz="0" w:space="0" w:color="auto"/>
            <w:left w:val="none" w:sz="0" w:space="0" w:color="auto"/>
            <w:bottom w:val="none" w:sz="0" w:space="0" w:color="auto"/>
            <w:right w:val="none" w:sz="0" w:space="0" w:color="auto"/>
          </w:divBdr>
        </w:div>
        <w:div w:id="1374114091">
          <w:marLeft w:val="0"/>
          <w:marRight w:val="0"/>
          <w:marTop w:val="120"/>
          <w:marBottom w:val="120"/>
          <w:divBdr>
            <w:top w:val="none" w:sz="0" w:space="0" w:color="auto"/>
            <w:left w:val="none" w:sz="0" w:space="0" w:color="auto"/>
            <w:bottom w:val="none" w:sz="0" w:space="0" w:color="auto"/>
            <w:right w:val="none" w:sz="0" w:space="0" w:color="auto"/>
          </w:divBdr>
        </w:div>
        <w:div w:id="1003508361">
          <w:marLeft w:val="0"/>
          <w:marRight w:val="0"/>
          <w:marTop w:val="120"/>
          <w:marBottom w:val="120"/>
          <w:divBdr>
            <w:top w:val="none" w:sz="0" w:space="0" w:color="auto"/>
            <w:left w:val="none" w:sz="0" w:space="0" w:color="auto"/>
            <w:bottom w:val="none" w:sz="0" w:space="0" w:color="auto"/>
            <w:right w:val="none" w:sz="0" w:space="0" w:color="auto"/>
          </w:divBdr>
        </w:div>
        <w:div w:id="1867210588">
          <w:marLeft w:val="0"/>
          <w:marRight w:val="0"/>
          <w:marTop w:val="120"/>
          <w:marBottom w:val="120"/>
          <w:divBdr>
            <w:top w:val="none" w:sz="0" w:space="0" w:color="auto"/>
            <w:left w:val="none" w:sz="0" w:space="0" w:color="auto"/>
            <w:bottom w:val="none" w:sz="0" w:space="0" w:color="auto"/>
            <w:right w:val="none" w:sz="0" w:space="0" w:color="auto"/>
          </w:divBdr>
        </w:div>
        <w:div w:id="1713728855">
          <w:marLeft w:val="0"/>
          <w:marRight w:val="0"/>
          <w:marTop w:val="120"/>
          <w:marBottom w:val="120"/>
          <w:divBdr>
            <w:top w:val="none" w:sz="0" w:space="0" w:color="auto"/>
            <w:left w:val="none" w:sz="0" w:space="0" w:color="auto"/>
            <w:bottom w:val="none" w:sz="0" w:space="0" w:color="auto"/>
            <w:right w:val="none" w:sz="0" w:space="0" w:color="auto"/>
          </w:divBdr>
        </w:div>
        <w:div w:id="965967426">
          <w:marLeft w:val="0"/>
          <w:marRight w:val="0"/>
          <w:marTop w:val="120"/>
          <w:marBottom w:val="120"/>
          <w:divBdr>
            <w:top w:val="none" w:sz="0" w:space="0" w:color="auto"/>
            <w:left w:val="none" w:sz="0" w:space="0" w:color="auto"/>
            <w:bottom w:val="none" w:sz="0" w:space="0" w:color="auto"/>
            <w:right w:val="none" w:sz="0" w:space="0" w:color="auto"/>
          </w:divBdr>
        </w:div>
        <w:div w:id="1339773681">
          <w:marLeft w:val="0"/>
          <w:marRight w:val="0"/>
          <w:marTop w:val="120"/>
          <w:marBottom w:val="120"/>
          <w:divBdr>
            <w:top w:val="none" w:sz="0" w:space="0" w:color="auto"/>
            <w:left w:val="none" w:sz="0" w:space="0" w:color="auto"/>
            <w:bottom w:val="none" w:sz="0" w:space="0" w:color="auto"/>
            <w:right w:val="none" w:sz="0" w:space="0" w:color="auto"/>
          </w:divBdr>
        </w:div>
        <w:div w:id="2010449460">
          <w:marLeft w:val="0"/>
          <w:marRight w:val="0"/>
          <w:marTop w:val="120"/>
          <w:marBottom w:val="120"/>
          <w:divBdr>
            <w:top w:val="none" w:sz="0" w:space="0" w:color="auto"/>
            <w:left w:val="none" w:sz="0" w:space="0" w:color="auto"/>
            <w:bottom w:val="none" w:sz="0" w:space="0" w:color="auto"/>
            <w:right w:val="none" w:sz="0" w:space="0" w:color="auto"/>
          </w:divBdr>
        </w:div>
        <w:div w:id="149685910">
          <w:marLeft w:val="0"/>
          <w:marRight w:val="0"/>
          <w:marTop w:val="120"/>
          <w:marBottom w:val="120"/>
          <w:divBdr>
            <w:top w:val="none" w:sz="0" w:space="0" w:color="auto"/>
            <w:left w:val="none" w:sz="0" w:space="0" w:color="auto"/>
            <w:bottom w:val="none" w:sz="0" w:space="0" w:color="auto"/>
            <w:right w:val="none" w:sz="0" w:space="0" w:color="auto"/>
          </w:divBdr>
        </w:div>
        <w:div w:id="615135472">
          <w:marLeft w:val="0"/>
          <w:marRight w:val="0"/>
          <w:marTop w:val="120"/>
          <w:marBottom w:val="120"/>
          <w:divBdr>
            <w:top w:val="none" w:sz="0" w:space="0" w:color="auto"/>
            <w:left w:val="none" w:sz="0" w:space="0" w:color="auto"/>
            <w:bottom w:val="none" w:sz="0" w:space="0" w:color="auto"/>
            <w:right w:val="none" w:sz="0" w:space="0" w:color="auto"/>
          </w:divBdr>
        </w:div>
        <w:div w:id="1705279155">
          <w:marLeft w:val="0"/>
          <w:marRight w:val="0"/>
          <w:marTop w:val="120"/>
          <w:marBottom w:val="120"/>
          <w:divBdr>
            <w:top w:val="none" w:sz="0" w:space="0" w:color="auto"/>
            <w:left w:val="none" w:sz="0" w:space="0" w:color="auto"/>
            <w:bottom w:val="none" w:sz="0" w:space="0" w:color="auto"/>
            <w:right w:val="none" w:sz="0" w:space="0" w:color="auto"/>
          </w:divBdr>
        </w:div>
        <w:div w:id="1170675280">
          <w:marLeft w:val="0"/>
          <w:marRight w:val="0"/>
          <w:marTop w:val="120"/>
          <w:marBottom w:val="120"/>
          <w:divBdr>
            <w:top w:val="none" w:sz="0" w:space="0" w:color="auto"/>
            <w:left w:val="none" w:sz="0" w:space="0" w:color="auto"/>
            <w:bottom w:val="none" w:sz="0" w:space="0" w:color="auto"/>
            <w:right w:val="none" w:sz="0" w:space="0" w:color="auto"/>
          </w:divBdr>
        </w:div>
        <w:div w:id="81417322">
          <w:marLeft w:val="0"/>
          <w:marRight w:val="0"/>
          <w:marTop w:val="120"/>
          <w:marBottom w:val="120"/>
          <w:divBdr>
            <w:top w:val="none" w:sz="0" w:space="0" w:color="auto"/>
            <w:left w:val="none" w:sz="0" w:space="0" w:color="auto"/>
            <w:bottom w:val="none" w:sz="0" w:space="0" w:color="auto"/>
            <w:right w:val="none" w:sz="0" w:space="0" w:color="auto"/>
          </w:divBdr>
        </w:div>
        <w:div w:id="176622571">
          <w:marLeft w:val="0"/>
          <w:marRight w:val="0"/>
          <w:marTop w:val="120"/>
          <w:marBottom w:val="120"/>
          <w:divBdr>
            <w:top w:val="none" w:sz="0" w:space="0" w:color="auto"/>
            <w:left w:val="none" w:sz="0" w:space="0" w:color="auto"/>
            <w:bottom w:val="none" w:sz="0" w:space="0" w:color="auto"/>
            <w:right w:val="none" w:sz="0" w:space="0" w:color="auto"/>
          </w:divBdr>
        </w:div>
        <w:div w:id="858084793">
          <w:marLeft w:val="0"/>
          <w:marRight w:val="0"/>
          <w:marTop w:val="120"/>
          <w:marBottom w:val="120"/>
          <w:divBdr>
            <w:top w:val="none" w:sz="0" w:space="0" w:color="auto"/>
            <w:left w:val="none" w:sz="0" w:space="0" w:color="auto"/>
            <w:bottom w:val="none" w:sz="0" w:space="0" w:color="auto"/>
            <w:right w:val="none" w:sz="0" w:space="0" w:color="auto"/>
          </w:divBdr>
        </w:div>
        <w:div w:id="969164694">
          <w:marLeft w:val="0"/>
          <w:marRight w:val="0"/>
          <w:marTop w:val="120"/>
          <w:marBottom w:val="120"/>
          <w:divBdr>
            <w:top w:val="none" w:sz="0" w:space="0" w:color="auto"/>
            <w:left w:val="none" w:sz="0" w:space="0" w:color="auto"/>
            <w:bottom w:val="none" w:sz="0" w:space="0" w:color="auto"/>
            <w:right w:val="none" w:sz="0" w:space="0" w:color="auto"/>
          </w:divBdr>
        </w:div>
        <w:div w:id="1358773936">
          <w:marLeft w:val="0"/>
          <w:marRight w:val="0"/>
          <w:marTop w:val="120"/>
          <w:marBottom w:val="120"/>
          <w:divBdr>
            <w:top w:val="none" w:sz="0" w:space="0" w:color="auto"/>
            <w:left w:val="none" w:sz="0" w:space="0" w:color="auto"/>
            <w:bottom w:val="none" w:sz="0" w:space="0" w:color="auto"/>
            <w:right w:val="none" w:sz="0" w:space="0" w:color="auto"/>
          </w:divBdr>
        </w:div>
        <w:div w:id="192813781">
          <w:marLeft w:val="0"/>
          <w:marRight w:val="0"/>
          <w:marTop w:val="120"/>
          <w:marBottom w:val="120"/>
          <w:divBdr>
            <w:top w:val="none" w:sz="0" w:space="0" w:color="auto"/>
            <w:left w:val="none" w:sz="0" w:space="0" w:color="auto"/>
            <w:bottom w:val="none" w:sz="0" w:space="0" w:color="auto"/>
            <w:right w:val="none" w:sz="0" w:space="0" w:color="auto"/>
          </w:divBdr>
        </w:div>
        <w:div w:id="1628777520">
          <w:marLeft w:val="0"/>
          <w:marRight w:val="0"/>
          <w:marTop w:val="120"/>
          <w:marBottom w:val="120"/>
          <w:divBdr>
            <w:top w:val="none" w:sz="0" w:space="0" w:color="auto"/>
            <w:left w:val="none" w:sz="0" w:space="0" w:color="auto"/>
            <w:bottom w:val="none" w:sz="0" w:space="0" w:color="auto"/>
            <w:right w:val="none" w:sz="0" w:space="0" w:color="auto"/>
          </w:divBdr>
        </w:div>
        <w:div w:id="1164247214">
          <w:marLeft w:val="0"/>
          <w:marRight w:val="0"/>
          <w:marTop w:val="120"/>
          <w:marBottom w:val="120"/>
          <w:divBdr>
            <w:top w:val="none" w:sz="0" w:space="0" w:color="auto"/>
            <w:left w:val="none" w:sz="0" w:space="0" w:color="auto"/>
            <w:bottom w:val="none" w:sz="0" w:space="0" w:color="auto"/>
            <w:right w:val="none" w:sz="0" w:space="0" w:color="auto"/>
          </w:divBdr>
        </w:div>
        <w:div w:id="280232920">
          <w:marLeft w:val="0"/>
          <w:marRight w:val="0"/>
          <w:marTop w:val="120"/>
          <w:marBottom w:val="120"/>
          <w:divBdr>
            <w:top w:val="none" w:sz="0" w:space="0" w:color="auto"/>
            <w:left w:val="none" w:sz="0" w:space="0" w:color="auto"/>
            <w:bottom w:val="none" w:sz="0" w:space="0" w:color="auto"/>
            <w:right w:val="none" w:sz="0" w:space="0" w:color="auto"/>
          </w:divBdr>
        </w:div>
        <w:div w:id="2058814516">
          <w:marLeft w:val="0"/>
          <w:marRight w:val="0"/>
          <w:marTop w:val="120"/>
          <w:marBottom w:val="120"/>
          <w:divBdr>
            <w:top w:val="none" w:sz="0" w:space="0" w:color="auto"/>
            <w:left w:val="none" w:sz="0" w:space="0" w:color="auto"/>
            <w:bottom w:val="none" w:sz="0" w:space="0" w:color="auto"/>
            <w:right w:val="none" w:sz="0" w:space="0" w:color="auto"/>
          </w:divBdr>
        </w:div>
        <w:div w:id="1435789097">
          <w:marLeft w:val="0"/>
          <w:marRight w:val="0"/>
          <w:marTop w:val="120"/>
          <w:marBottom w:val="120"/>
          <w:divBdr>
            <w:top w:val="none" w:sz="0" w:space="0" w:color="auto"/>
            <w:left w:val="none" w:sz="0" w:space="0" w:color="auto"/>
            <w:bottom w:val="none" w:sz="0" w:space="0" w:color="auto"/>
            <w:right w:val="none" w:sz="0" w:space="0" w:color="auto"/>
          </w:divBdr>
        </w:div>
        <w:div w:id="746070416">
          <w:marLeft w:val="0"/>
          <w:marRight w:val="0"/>
          <w:marTop w:val="120"/>
          <w:marBottom w:val="120"/>
          <w:divBdr>
            <w:top w:val="none" w:sz="0" w:space="0" w:color="auto"/>
            <w:left w:val="none" w:sz="0" w:space="0" w:color="auto"/>
            <w:bottom w:val="none" w:sz="0" w:space="0" w:color="auto"/>
            <w:right w:val="none" w:sz="0" w:space="0" w:color="auto"/>
          </w:divBdr>
        </w:div>
        <w:div w:id="617837592">
          <w:marLeft w:val="0"/>
          <w:marRight w:val="0"/>
          <w:marTop w:val="120"/>
          <w:marBottom w:val="120"/>
          <w:divBdr>
            <w:top w:val="none" w:sz="0" w:space="0" w:color="auto"/>
            <w:left w:val="none" w:sz="0" w:space="0" w:color="auto"/>
            <w:bottom w:val="none" w:sz="0" w:space="0" w:color="auto"/>
            <w:right w:val="none" w:sz="0" w:space="0" w:color="auto"/>
          </w:divBdr>
        </w:div>
        <w:div w:id="1991519365">
          <w:marLeft w:val="0"/>
          <w:marRight w:val="0"/>
          <w:marTop w:val="120"/>
          <w:marBottom w:val="120"/>
          <w:divBdr>
            <w:top w:val="none" w:sz="0" w:space="0" w:color="auto"/>
            <w:left w:val="none" w:sz="0" w:space="0" w:color="auto"/>
            <w:bottom w:val="none" w:sz="0" w:space="0" w:color="auto"/>
            <w:right w:val="none" w:sz="0" w:space="0" w:color="auto"/>
          </w:divBdr>
        </w:div>
        <w:div w:id="310913496">
          <w:marLeft w:val="0"/>
          <w:marRight w:val="0"/>
          <w:marTop w:val="120"/>
          <w:marBottom w:val="120"/>
          <w:divBdr>
            <w:top w:val="none" w:sz="0" w:space="0" w:color="auto"/>
            <w:left w:val="none" w:sz="0" w:space="0" w:color="auto"/>
            <w:bottom w:val="none" w:sz="0" w:space="0" w:color="auto"/>
            <w:right w:val="none" w:sz="0" w:space="0" w:color="auto"/>
          </w:divBdr>
        </w:div>
        <w:div w:id="1532065613">
          <w:marLeft w:val="0"/>
          <w:marRight w:val="0"/>
          <w:marTop w:val="120"/>
          <w:marBottom w:val="120"/>
          <w:divBdr>
            <w:top w:val="none" w:sz="0" w:space="0" w:color="auto"/>
            <w:left w:val="none" w:sz="0" w:space="0" w:color="auto"/>
            <w:bottom w:val="none" w:sz="0" w:space="0" w:color="auto"/>
            <w:right w:val="none" w:sz="0" w:space="0" w:color="auto"/>
          </w:divBdr>
        </w:div>
        <w:div w:id="1802267686">
          <w:marLeft w:val="0"/>
          <w:marRight w:val="0"/>
          <w:marTop w:val="120"/>
          <w:marBottom w:val="120"/>
          <w:divBdr>
            <w:top w:val="none" w:sz="0" w:space="0" w:color="auto"/>
            <w:left w:val="none" w:sz="0" w:space="0" w:color="auto"/>
            <w:bottom w:val="none" w:sz="0" w:space="0" w:color="auto"/>
            <w:right w:val="none" w:sz="0" w:space="0" w:color="auto"/>
          </w:divBdr>
        </w:div>
        <w:div w:id="245462930">
          <w:marLeft w:val="0"/>
          <w:marRight w:val="0"/>
          <w:marTop w:val="120"/>
          <w:marBottom w:val="120"/>
          <w:divBdr>
            <w:top w:val="none" w:sz="0" w:space="0" w:color="auto"/>
            <w:left w:val="none" w:sz="0" w:space="0" w:color="auto"/>
            <w:bottom w:val="none" w:sz="0" w:space="0" w:color="auto"/>
            <w:right w:val="none" w:sz="0" w:space="0" w:color="auto"/>
          </w:divBdr>
        </w:div>
        <w:div w:id="1491172541">
          <w:marLeft w:val="0"/>
          <w:marRight w:val="0"/>
          <w:marTop w:val="120"/>
          <w:marBottom w:val="120"/>
          <w:divBdr>
            <w:top w:val="none" w:sz="0" w:space="0" w:color="auto"/>
            <w:left w:val="none" w:sz="0" w:space="0" w:color="auto"/>
            <w:bottom w:val="none" w:sz="0" w:space="0" w:color="auto"/>
            <w:right w:val="none" w:sz="0" w:space="0" w:color="auto"/>
          </w:divBdr>
        </w:div>
        <w:div w:id="301035024">
          <w:marLeft w:val="0"/>
          <w:marRight w:val="0"/>
          <w:marTop w:val="120"/>
          <w:marBottom w:val="120"/>
          <w:divBdr>
            <w:top w:val="none" w:sz="0" w:space="0" w:color="auto"/>
            <w:left w:val="none" w:sz="0" w:space="0" w:color="auto"/>
            <w:bottom w:val="none" w:sz="0" w:space="0" w:color="auto"/>
            <w:right w:val="none" w:sz="0" w:space="0" w:color="auto"/>
          </w:divBdr>
        </w:div>
        <w:div w:id="174154304">
          <w:marLeft w:val="0"/>
          <w:marRight w:val="0"/>
          <w:marTop w:val="120"/>
          <w:marBottom w:val="120"/>
          <w:divBdr>
            <w:top w:val="none" w:sz="0" w:space="0" w:color="auto"/>
            <w:left w:val="none" w:sz="0" w:space="0" w:color="auto"/>
            <w:bottom w:val="none" w:sz="0" w:space="0" w:color="auto"/>
            <w:right w:val="none" w:sz="0" w:space="0" w:color="auto"/>
          </w:divBdr>
        </w:div>
        <w:div w:id="1542551286">
          <w:marLeft w:val="0"/>
          <w:marRight w:val="0"/>
          <w:marTop w:val="120"/>
          <w:marBottom w:val="120"/>
          <w:divBdr>
            <w:top w:val="none" w:sz="0" w:space="0" w:color="auto"/>
            <w:left w:val="none" w:sz="0" w:space="0" w:color="auto"/>
            <w:bottom w:val="none" w:sz="0" w:space="0" w:color="auto"/>
            <w:right w:val="none" w:sz="0" w:space="0" w:color="auto"/>
          </w:divBdr>
        </w:div>
        <w:div w:id="1592617984">
          <w:marLeft w:val="0"/>
          <w:marRight w:val="0"/>
          <w:marTop w:val="120"/>
          <w:marBottom w:val="120"/>
          <w:divBdr>
            <w:top w:val="none" w:sz="0" w:space="0" w:color="auto"/>
            <w:left w:val="none" w:sz="0" w:space="0" w:color="auto"/>
            <w:bottom w:val="none" w:sz="0" w:space="0" w:color="auto"/>
            <w:right w:val="none" w:sz="0" w:space="0" w:color="auto"/>
          </w:divBdr>
        </w:div>
        <w:div w:id="1474640406">
          <w:marLeft w:val="0"/>
          <w:marRight w:val="0"/>
          <w:marTop w:val="120"/>
          <w:marBottom w:val="120"/>
          <w:divBdr>
            <w:top w:val="none" w:sz="0" w:space="0" w:color="auto"/>
            <w:left w:val="none" w:sz="0" w:space="0" w:color="auto"/>
            <w:bottom w:val="none" w:sz="0" w:space="0" w:color="auto"/>
            <w:right w:val="none" w:sz="0" w:space="0" w:color="auto"/>
          </w:divBdr>
        </w:div>
        <w:div w:id="1796412323">
          <w:marLeft w:val="0"/>
          <w:marRight w:val="0"/>
          <w:marTop w:val="120"/>
          <w:marBottom w:val="120"/>
          <w:divBdr>
            <w:top w:val="none" w:sz="0" w:space="0" w:color="auto"/>
            <w:left w:val="none" w:sz="0" w:space="0" w:color="auto"/>
            <w:bottom w:val="none" w:sz="0" w:space="0" w:color="auto"/>
            <w:right w:val="none" w:sz="0" w:space="0" w:color="auto"/>
          </w:divBdr>
        </w:div>
        <w:div w:id="1536505708">
          <w:marLeft w:val="0"/>
          <w:marRight w:val="0"/>
          <w:marTop w:val="120"/>
          <w:marBottom w:val="120"/>
          <w:divBdr>
            <w:top w:val="none" w:sz="0" w:space="0" w:color="auto"/>
            <w:left w:val="none" w:sz="0" w:space="0" w:color="auto"/>
            <w:bottom w:val="none" w:sz="0" w:space="0" w:color="auto"/>
            <w:right w:val="none" w:sz="0" w:space="0" w:color="auto"/>
          </w:divBdr>
        </w:div>
        <w:div w:id="890767160">
          <w:marLeft w:val="0"/>
          <w:marRight w:val="0"/>
          <w:marTop w:val="120"/>
          <w:marBottom w:val="120"/>
          <w:divBdr>
            <w:top w:val="none" w:sz="0" w:space="0" w:color="auto"/>
            <w:left w:val="none" w:sz="0" w:space="0" w:color="auto"/>
            <w:bottom w:val="none" w:sz="0" w:space="0" w:color="auto"/>
            <w:right w:val="none" w:sz="0" w:space="0" w:color="auto"/>
          </w:divBdr>
        </w:div>
        <w:div w:id="195891859">
          <w:marLeft w:val="0"/>
          <w:marRight w:val="0"/>
          <w:marTop w:val="120"/>
          <w:marBottom w:val="120"/>
          <w:divBdr>
            <w:top w:val="none" w:sz="0" w:space="0" w:color="auto"/>
            <w:left w:val="none" w:sz="0" w:space="0" w:color="auto"/>
            <w:bottom w:val="none" w:sz="0" w:space="0" w:color="auto"/>
            <w:right w:val="none" w:sz="0" w:space="0" w:color="auto"/>
          </w:divBdr>
        </w:div>
        <w:div w:id="559900473">
          <w:marLeft w:val="0"/>
          <w:marRight w:val="0"/>
          <w:marTop w:val="120"/>
          <w:marBottom w:val="120"/>
          <w:divBdr>
            <w:top w:val="none" w:sz="0" w:space="0" w:color="auto"/>
            <w:left w:val="none" w:sz="0" w:space="0" w:color="auto"/>
            <w:bottom w:val="none" w:sz="0" w:space="0" w:color="auto"/>
            <w:right w:val="none" w:sz="0" w:space="0" w:color="auto"/>
          </w:divBdr>
        </w:div>
        <w:div w:id="230969770">
          <w:marLeft w:val="0"/>
          <w:marRight w:val="0"/>
          <w:marTop w:val="120"/>
          <w:marBottom w:val="120"/>
          <w:divBdr>
            <w:top w:val="none" w:sz="0" w:space="0" w:color="auto"/>
            <w:left w:val="none" w:sz="0" w:space="0" w:color="auto"/>
            <w:bottom w:val="none" w:sz="0" w:space="0" w:color="auto"/>
            <w:right w:val="none" w:sz="0" w:space="0" w:color="auto"/>
          </w:divBdr>
        </w:div>
        <w:div w:id="421027458">
          <w:marLeft w:val="0"/>
          <w:marRight w:val="0"/>
          <w:marTop w:val="120"/>
          <w:marBottom w:val="120"/>
          <w:divBdr>
            <w:top w:val="none" w:sz="0" w:space="0" w:color="auto"/>
            <w:left w:val="none" w:sz="0" w:space="0" w:color="auto"/>
            <w:bottom w:val="none" w:sz="0" w:space="0" w:color="auto"/>
            <w:right w:val="none" w:sz="0" w:space="0" w:color="auto"/>
          </w:divBdr>
        </w:div>
        <w:div w:id="996303971">
          <w:marLeft w:val="0"/>
          <w:marRight w:val="0"/>
          <w:marTop w:val="120"/>
          <w:marBottom w:val="120"/>
          <w:divBdr>
            <w:top w:val="none" w:sz="0" w:space="0" w:color="auto"/>
            <w:left w:val="none" w:sz="0" w:space="0" w:color="auto"/>
            <w:bottom w:val="none" w:sz="0" w:space="0" w:color="auto"/>
            <w:right w:val="none" w:sz="0" w:space="0" w:color="auto"/>
          </w:divBdr>
        </w:div>
        <w:div w:id="1603879284">
          <w:marLeft w:val="0"/>
          <w:marRight w:val="0"/>
          <w:marTop w:val="120"/>
          <w:marBottom w:val="120"/>
          <w:divBdr>
            <w:top w:val="none" w:sz="0" w:space="0" w:color="auto"/>
            <w:left w:val="none" w:sz="0" w:space="0" w:color="auto"/>
            <w:bottom w:val="none" w:sz="0" w:space="0" w:color="auto"/>
            <w:right w:val="none" w:sz="0" w:space="0" w:color="auto"/>
          </w:divBdr>
        </w:div>
        <w:div w:id="628165905">
          <w:marLeft w:val="0"/>
          <w:marRight w:val="0"/>
          <w:marTop w:val="120"/>
          <w:marBottom w:val="120"/>
          <w:divBdr>
            <w:top w:val="none" w:sz="0" w:space="0" w:color="auto"/>
            <w:left w:val="none" w:sz="0" w:space="0" w:color="auto"/>
            <w:bottom w:val="none" w:sz="0" w:space="0" w:color="auto"/>
            <w:right w:val="none" w:sz="0" w:space="0" w:color="auto"/>
          </w:divBdr>
        </w:div>
        <w:div w:id="1091896690">
          <w:marLeft w:val="0"/>
          <w:marRight w:val="0"/>
          <w:marTop w:val="120"/>
          <w:marBottom w:val="120"/>
          <w:divBdr>
            <w:top w:val="none" w:sz="0" w:space="0" w:color="auto"/>
            <w:left w:val="none" w:sz="0" w:space="0" w:color="auto"/>
            <w:bottom w:val="none" w:sz="0" w:space="0" w:color="auto"/>
            <w:right w:val="none" w:sz="0" w:space="0" w:color="auto"/>
          </w:divBdr>
        </w:div>
        <w:div w:id="1647198367">
          <w:marLeft w:val="0"/>
          <w:marRight w:val="0"/>
          <w:marTop w:val="120"/>
          <w:marBottom w:val="120"/>
          <w:divBdr>
            <w:top w:val="none" w:sz="0" w:space="0" w:color="auto"/>
            <w:left w:val="none" w:sz="0" w:space="0" w:color="auto"/>
            <w:bottom w:val="none" w:sz="0" w:space="0" w:color="auto"/>
            <w:right w:val="none" w:sz="0" w:space="0" w:color="auto"/>
          </w:divBdr>
        </w:div>
        <w:div w:id="856845160">
          <w:marLeft w:val="0"/>
          <w:marRight w:val="0"/>
          <w:marTop w:val="120"/>
          <w:marBottom w:val="120"/>
          <w:divBdr>
            <w:top w:val="none" w:sz="0" w:space="0" w:color="auto"/>
            <w:left w:val="none" w:sz="0" w:space="0" w:color="auto"/>
            <w:bottom w:val="none" w:sz="0" w:space="0" w:color="auto"/>
            <w:right w:val="none" w:sz="0" w:space="0" w:color="auto"/>
          </w:divBdr>
        </w:div>
        <w:div w:id="749158487">
          <w:marLeft w:val="0"/>
          <w:marRight w:val="0"/>
          <w:marTop w:val="120"/>
          <w:marBottom w:val="120"/>
          <w:divBdr>
            <w:top w:val="none" w:sz="0" w:space="0" w:color="auto"/>
            <w:left w:val="none" w:sz="0" w:space="0" w:color="auto"/>
            <w:bottom w:val="none" w:sz="0" w:space="0" w:color="auto"/>
            <w:right w:val="none" w:sz="0" w:space="0" w:color="auto"/>
          </w:divBdr>
        </w:div>
        <w:div w:id="1632127299">
          <w:marLeft w:val="0"/>
          <w:marRight w:val="0"/>
          <w:marTop w:val="120"/>
          <w:marBottom w:val="120"/>
          <w:divBdr>
            <w:top w:val="none" w:sz="0" w:space="0" w:color="auto"/>
            <w:left w:val="none" w:sz="0" w:space="0" w:color="auto"/>
            <w:bottom w:val="none" w:sz="0" w:space="0" w:color="auto"/>
            <w:right w:val="none" w:sz="0" w:space="0" w:color="auto"/>
          </w:divBdr>
        </w:div>
        <w:div w:id="1026980098">
          <w:marLeft w:val="0"/>
          <w:marRight w:val="0"/>
          <w:marTop w:val="120"/>
          <w:marBottom w:val="120"/>
          <w:divBdr>
            <w:top w:val="none" w:sz="0" w:space="0" w:color="auto"/>
            <w:left w:val="none" w:sz="0" w:space="0" w:color="auto"/>
            <w:bottom w:val="none" w:sz="0" w:space="0" w:color="auto"/>
            <w:right w:val="none" w:sz="0" w:space="0" w:color="auto"/>
          </w:divBdr>
        </w:div>
        <w:div w:id="1924869745">
          <w:marLeft w:val="0"/>
          <w:marRight w:val="0"/>
          <w:marTop w:val="120"/>
          <w:marBottom w:val="120"/>
          <w:divBdr>
            <w:top w:val="none" w:sz="0" w:space="0" w:color="auto"/>
            <w:left w:val="none" w:sz="0" w:space="0" w:color="auto"/>
            <w:bottom w:val="none" w:sz="0" w:space="0" w:color="auto"/>
            <w:right w:val="none" w:sz="0" w:space="0" w:color="auto"/>
          </w:divBdr>
        </w:div>
        <w:div w:id="946041661">
          <w:marLeft w:val="0"/>
          <w:marRight w:val="0"/>
          <w:marTop w:val="120"/>
          <w:marBottom w:val="120"/>
          <w:divBdr>
            <w:top w:val="none" w:sz="0" w:space="0" w:color="auto"/>
            <w:left w:val="none" w:sz="0" w:space="0" w:color="auto"/>
            <w:bottom w:val="none" w:sz="0" w:space="0" w:color="auto"/>
            <w:right w:val="none" w:sz="0" w:space="0" w:color="auto"/>
          </w:divBdr>
        </w:div>
        <w:div w:id="138959633">
          <w:marLeft w:val="0"/>
          <w:marRight w:val="0"/>
          <w:marTop w:val="120"/>
          <w:marBottom w:val="120"/>
          <w:divBdr>
            <w:top w:val="none" w:sz="0" w:space="0" w:color="auto"/>
            <w:left w:val="none" w:sz="0" w:space="0" w:color="auto"/>
            <w:bottom w:val="none" w:sz="0" w:space="0" w:color="auto"/>
            <w:right w:val="none" w:sz="0" w:space="0" w:color="auto"/>
          </w:divBdr>
        </w:div>
        <w:div w:id="1207135357">
          <w:marLeft w:val="0"/>
          <w:marRight w:val="0"/>
          <w:marTop w:val="120"/>
          <w:marBottom w:val="120"/>
          <w:divBdr>
            <w:top w:val="none" w:sz="0" w:space="0" w:color="auto"/>
            <w:left w:val="none" w:sz="0" w:space="0" w:color="auto"/>
            <w:bottom w:val="none" w:sz="0" w:space="0" w:color="auto"/>
            <w:right w:val="none" w:sz="0" w:space="0" w:color="auto"/>
          </w:divBdr>
        </w:div>
        <w:div w:id="232589850">
          <w:marLeft w:val="0"/>
          <w:marRight w:val="0"/>
          <w:marTop w:val="120"/>
          <w:marBottom w:val="120"/>
          <w:divBdr>
            <w:top w:val="none" w:sz="0" w:space="0" w:color="auto"/>
            <w:left w:val="none" w:sz="0" w:space="0" w:color="auto"/>
            <w:bottom w:val="none" w:sz="0" w:space="0" w:color="auto"/>
            <w:right w:val="none" w:sz="0" w:space="0" w:color="auto"/>
          </w:divBdr>
        </w:div>
        <w:div w:id="41902313">
          <w:marLeft w:val="0"/>
          <w:marRight w:val="0"/>
          <w:marTop w:val="120"/>
          <w:marBottom w:val="120"/>
          <w:divBdr>
            <w:top w:val="none" w:sz="0" w:space="0" w:color="auto"/>
            <w:left w:val="none" w:sz="0" w:space="0" w:color="auto"/>
            <w:bottom w:val="none" w:sz="0" w:space="0" w:color="auto"/>
            <w:right w:val="none" w:sz="0" w:space="0" w:color="auto"/>
          </w:divBdr>
        </w:div>
        <w:div w:id="1978953758">
          <w:marLeft w:val="0"/>
          <w:marRight w:val="0"/>
          <w:marTop w:val="120"/>
          <w:marBottom w:val="120"/>
          <w:divBdr>
            <w:top w:val="none" w:sz="0" w:space="0" w:color="auto"/>
            <w:left w:val="none" w:sz="0" w:space="0" w:color="auto"/>
            <w:bottom w:val="none" w:sz="0" w:space="0" w:color="auto"/>
            <w:right w:val="none" w:sz="0" w:space="0" w:color="auto"/>
          </w:divBdr>
        </w:div>
        <w:div w:id="1531264186">
          <w:marLeft w:val="0"/>
          <w:marRight w:val="0"/>
          <w:marTop w:val="120"/>
          <w:marBottom w:val="120"/>
          <w:divBdr>
            <w:top w:val="none" w:sz="0" w:space="0" w:color="auto"/>
            <w:left w:val="none" w:sz="0" w:space="0" w:color="auto"/>
            <w:bottom w:val="none" w:sz="0" w:space="0" w:color="auto"/>
            <w:right w:val="none" w:sz="0" w:space="0" w:color="auto"/>
          </w:divBdr>
        </w:div>
        <w:div w:id="1099906820">
          <w:marLeft w:val="0"/>
          <w:marRight w:val="0"/>
          <w:marTop w:val="120"/>
          <w:marBottom w:val="120"/>
          <w:divBdr>
            <w:top w:val="none" w:sz="0" w:space="0" w:color="auto"/>
            <w:left w:val="none" w:sz="0" w:space="0" w:color="auto"/>
            <w:bottom w:val="none" w:sz="0" w:space="0" w:color="auto"/>
            <w:right w:val="none" w:sz="0" w:space="0" w:color="auto"/>
          </w:divBdr>
        </w:div>
        <w:div w:id="74056380">
          <w:marLeft w:val="0"/>
          <w:marRight w:val="0"/>
          <w:marTop w:val="120"/>
          <w:marBottom w:val="120"/>
          <w:divBdr>
            <w:top w:val="none" w:sz="0" w:space="0" w:color="auto"/>
            <w:left w:val="none" w:sz="0" w:space="0" w:color="auto"/>
            <w:bottom w:val="none" w:sz="0" w:space="0" w:color="auto"/>
            <w:right w:val="none" w:sz="0" w:space="0" w:color="auto"/>
          </w:divBdr>
        </w:div>
        <w:div w:id="1947536219">
          <w:marLeft w:val="0"/>
          <w:marRight w:val="0"/>
          <w:marTop w:val="120"/>
          <w:marBottom w:val="120"/>
          <w:divBdr>
            <w:top w:val="none" w:sz="0" w:space="0" w:color="auto"/>
            <w:left w:val="none" w:sz="0" w:space="0" w:color="auto"/>
            <w:bottom w:val="none" w:sz="0" w:space="0" w:color="auto"/>
            <w:right w:val="none" w:sz="0" w:space="0" w:color="auto"/>
          </w:divBdr>
        </w:div>
        <w:div w:id="1010958635">
          <w:marLeft w:val="0"/>
          <w:marRight w:val="0"/>
          <w:marTop w:val="120"/>
          <w:marBottom w:val="120"/>
          <w:divBdr>
            <w:top w:val="none" w:sz="0" w:space="0" w:color="auto"/>
            <w:left w:val="none" w:sz="0" w:space="0" w:color="auto"/>
            <w:bottom w:val="none" w:sz="0" w:space="0" w:color="auto"/>
            <w:right w:val="none" w:sz="0" w:space="0" w:color="auto"/>
          </w:divBdr>
        </w:div>
        <w:div w:id="1415082401">
          <w:marLeft w:val="0"/>
          <w:marRight w:val="0"/>
          <w:marTop w:val="120"/>
          <w:marBottom w:val="120"/>
          <w:divBdr>
            <w:top w:val="none" w:sz="0" w:space="0" w:color="auto"/>
            <w:left w:val="none" w:sz="0" w:space="0" w:color="auto"/>
            <w:bottom w:val="none" w:sz="0" w:space="0" w:color="auto"/>
            <w:right w:val="none" w:sz="0" w:space="0" w:color="auto"/>
          </w:divBdr>
        </w:div>
        <w:div w:id="1693264453">
          <w:marLeft w:val="0"/>
          <w:marRight w:val="0"/>
          <w:marTop w:val="120"/>
          <w:marBottom w:val="120"/>
          <w:divBdr>
            <w:top w:val="none" w:sz="0" w:space="0" w:color="auto"/>
            <w:left w:val="none" w:sz="0" w:space="0" w:color="auto"/>
            <w:bottom w:val="none" w:sz="0" w:space="0" w:color="auto"/>
            <w:right w:val="none" w:sz="0" w:space="0" w:color="auto"/>
          </w:divBdr>
        </w:div>
        <w:div w:id="681248761">
          <w:marLeft w:val="0"/>
          <w:marRight w:val="0"/>
          <w:marTop w:val="120"/>
          <w:marBottom w:val="120"/>
          <w:divBdr>
            <w:top w:val="none" w:sz="0" w:space="0" w:color="auto"/>
            <w:left w:val="none" w:sz="0" w:space="0" w:color="auto"/>
            <w:bottom w:val="none" w:sz="0" w:space="0" w:color="auto"/>
            <w:right w:val="none" w:sz="0" w:space="0" w:color="auto"/>
          </w:divBdr>
        </w:div>
        <w:div w:id="1556310925">
          <w:marLeft w:val="0"/>
          <w:marRight w:val="0"/>
          <w:marTop w:val="120"/>
          <w:marBottom w:val="120"/>
          <w:divBdr>
            <w:top w:val="none" w:sz="0" w:space="0" w:color="auto"/>
            <w:left w:val="none" w:sz="0" w:space="0" w:color="auto"/>
            <w:bottom w:val="none" w:sz="0" w:space="0" w:color="auto"/>
            <w:right w:val="none" w:sz="0" w:space="0" w:color="auto"/>
          </w:divBdr>
        </w:div>
        <w:div w:id="81704040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4883</Words>
  <Characters>27838</Characters>
  <Application>Microsoft Office Word</Application>
  <DocSecurity>0</DocSecurity>
  <Lines>231</Lines>
  <Paragraphs>65</Paragraphs>
  <ScaleCrop>false</ScaleCrop>
  <Company/>
  <LinksUpToDate>false</LinksUpToDate>
  <CharactersWithSpaces>32656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dung</dc:creator>
  <cp:lastModifiedBy>mr dung</cp:lastModifiedBy>
  <cp:revision>2</cp:revision>
  <dcterms:created xsi:type="dcterms:W3CDTF">2018-08-14T09:19:00Z</dcterms:created>
  <dcterms:modified xsi:type="dcterms:W3CDTF">2018-08-14T09:20:00Z</dcterms:modified>
</cp:coreProperties>
</file>